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center"/>
        <w:rPr>
          <w:rFonts w:hint="eastAsia"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lang w:eastAsia="zh-CN"/>
        </w:rPr>
        <w:t>中共霸州市委员会组织部</w:t>
      </w:r>
      <w:r>
        <w:rPr>
          <w:rFonts w:hint="eastAsia" w:ascii="黑体" w:hAnsi="黑体" w:eastAsia="黑体" w:cs="Times New Roman"/>
          <w:color w:val="auto"/>
          <w:sz w:val="32"/>
          <w:szCs w:val="32"/>
          <w:highlight w:val="none"/>
        </w:rPr>
        <w:t>2020年部门预算信息公开</w:t>
      </w:r>
    </w:p>
    <w:p>
      <w:pPr>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按照《预算法》、《地方预决算公开操作规程》和《河北省省级预算公开办法》规定，现将</w:t>
      </w:r>
      <w:r>
        <w:rPr>
          <w:rFonts w:hint="eastAsia" w:ascii="仿宋_GB2312" w:hAnsi="Times New Roman" w:eastAsia="仿宋_GB2312" w:cs="Times New Roman"/>
          <w:color w:val="auto"/>
          <w:sz w:val="32"/>
          <w:szCs w:val="32"/>
          <w:highlight w:val="none"/>
          <w:lang w:eastAsia="zh-CN"/>
        </w:rPr>
        <w:t>中共霸州市委员会组织部</w:t>
      </w:r>
      <w:r>
        <w:rPr>
          <w:rFonts w:hint="eastAsia" w:ascii="仿宋_GB2312" w:hAnsi="Times New Roman" w:eastAsia="仿宋_GB2312" w:cs="Times New Roman"/>
          <w:color w:val="auto"/>
          <w:sz w:val="32"/>
          <w:szCs w:val="32"/>
          <w:highlight w:val="none"/>
        </w:rPr>
        <w:t>20</w:t>
      </w:r>
      <w:r>
        <w:rPr>
          <w:rFonts w:ascii="仿宋_GB2312" w:hAnsi="Times New Roman" w:eastAsia="仿宋_GB2312" w:cs="Times New Roman"/>
          <w:color w:val="auto"/>
          <w:sz w:val="32"/>
          <w:szCs w:val="32"/>
          <w:highlight w:val="none"/>
        </w:rPr>
        <w:t>20</w:t>
      </w:r>
      <w:r>
        <w:rPr>
          <w:rFonts w:hint="eastAsia" w:ascii="仿宋_GB2312" w:hAnsi="Times New Roman" w:eastAsia="仿宋_GB2312" w:cs="Times New Roman"/>
          <w:color w:val="auto"/>
          <w:sz w:val="32"/>
          <w:szCs w:val="32"/>
          <w:highlight w:val="none"/>
        </w:rPr>
        <w:t>年部门预算公开如下：</w:t>
      </w:r>
    </w:p>
    <w:p>
      <w:pPr>
        <w:ind w:firstLine="640" w:firstLineChars="200"/>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一、部门职责及机构设置情况</w:t>
      </w:r>
    </w:p>
    <w:p>
      <w:pPr>
        <w:ind w:firstLine="643" w:firstLineChars="200"/>
        <w:rPr>
          <w:rFonts w:ascii="楷体_GB2312" w:hAnsi="Times New Roman" w:eastAsia="楷体_GB2312" w:cs="Times New Roman"/>
          <w:b/>
          <w:sz w:val="32"/>
          <w:szCs w:val="32"/>
          <w:highlight w:val="none"/>
        </w:rPr>
      </w:pPr>
      <w:r>
        <w:rPr>
          <w:rFonts w:hint="eastAsia" w:ascii="楷体_GB2312" w:hAnsi="Times New Roman" w:eastAsia="楷体_GB2312" w:cs="Times New Roman"/>
          <w:b/>
          <w:sz w:val="32"/>
          <w:szCs w:val="32"/>
          <w:highlight w:val="none"/>
        </w:rPr>
        <w:t>部门职责：</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1、指导全市党组织特别是党的基层组织建设；研究和指导各类新的经济组织中党组织的设置和活动方式；研究和提出党内生活制度建设的意见；协调、规划和指导全市党员教育工作，主管党员的管理和发展工作，组织新时期党的建设的理论研究。</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2、提出关于乡（镇、区、办）和市直各部门以及其他列入市委、组织部管理干部的考察和办理任免、工资、待遇、退（离）休审批手续；指导乡（镇、区、办）和市直各部门领导班子的思想作风建设；负责市委、组织部管理的干部及市直参照管理单位科级（含科级）以下工作人员考核及奖惩工作；承办部分干部的调配、交流及安置事宜。</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3、负责对全市各级领导班子和领导干部的监督工作，负责对全市乡（镇、区、办）党委贯彻党的干部路线、方针、政策和执行干部选拔任用纪律情况的监督。</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4、研究制定全市干部队伍建设的方针、政策、负责全市干部队伍建设的宏观指导工作，组织落实培养选拔后备干部、妇女干部、少数民族干部工作。</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5、从宏观上研究和指导全市党的组织制度和干部人事制度改革，制定或参与制定全市组织、干部、人事工作的重要政策和制度。</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6、负责全市组织工作和干部工作的检查督促，及时向市委反映重要情况，提出建议。</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7、主管全市干部教育培训工作，制定干部教育培训工作的方针、政策、规划；研究探索适合我市情况的干部培训制度；负责对乡（镇、区、办）和市直单位干部培训工作进行协调、指导、检查；负责具体组织市委管理干部和一定层次的其他干部的培训。</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8、负责全市知识分子工作的综合协调、检查指导，负责市管专业技术拔尖人才的选拔管理，专家咨询服务组织的管理以及科技副职的宏观管理等项工作。</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9、负责全市因公出国（境）人员和科级领导干部因私出国（境）的审查工作；受理党员、干部的有关申诉和党员、干部、群众的来信来访工作；负责全市组织史资料征集和编纂工作。</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10、负责全市党组织、党员和干部的统计工作；主管全市干部档案管理的宏观指导工作，负责市管干部及部分其他人员的档案管理工作；负责全市党费的收缴、管理和使用工作。</w:t>
      </w:r>
    </w:p>
    <w:p>
      <w:pPr>
        <w:autoSpaceDE w:val="0"/>
        <w:autoSpaceDN w:val="0"/>
        <w:adjustRightInd w:val="0"/>
        <w:ind w:firstLine="643" w:firstLineChars="200"/>
        <w:jc w:val="left"/>
        <w:rPr>
          <w:rFonts w:ascii="楷体_GB2312" w:hAnsi="Times New Roman" w:eastAsia="楷体_GB2312" w:cs="Times New Roman"/>
          <w:b/>
          <w:sz w:val="32"/>
          <w:szCs w:val="32"/>
          <w:highlight w:val="none"/>
        </w:rPr>
      </w:pPr>
      <w:r>
        <w:rPr>
          <w:rFonts w:hint="eastAsia" w:ascii="楷体_GB2312" w:hAnsi="Times New Roman" w:eastAsia="楷体_GB2312" w:cs="Times New Roman"/>
          <w:b/>
          <w:sz w:val="32"/>
          <w:szCs w:val="32"/>
          <w:highlight w:val="none"/>
        </w:rPr>
        <w:t>机构设置：</w:t>
      </w:r>
    </w:p>
    <w:p>
      <w:pPr>
        <w:jc w:val="center"/>
        <w:outlineLvl w:val="0"/>
        <w:rPr>
          <w:rFonts w:ascii="Times New Roman" w:hAnsi="Times New Roman" w:eastAsia="方正小标宋_GBK" w:cs="Times New Roman"/>
          <w:sz w:val="32"/>
          <w:szCs w:val="24"/>
          <w:highlight w:val="none"/>
        </w:rPr>
      </w:pPr>
      <w:r>
        <w:rPr>
          <w:rFonts w:ascii="Times New Roman" w:hAnsi="Times New Roman" w:eastAsia="方正小标宋_GBK" w:cs="Times New Roman"/>
          <w:sz w:val="32"/>
          <w:szCs w:val="24"/>
          <w:highlight w:val="none"/>
        </w:rPr>
        <w:t>部门</w:t>
      </w:r>
      <w:r>
        <w:rPr>
          <w:rFonts w:hint="eastAsia" w:ascii="Times New Roman" w:hAnsi="Times New Roman" w:eastAsia="方正小标宋_GBK" w:cs="Times New Roman"/>
          <w:sz w:val="32"/>
          <w:szCs w:val="24"/>
          <w:highlight w:val="none"/>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b/>
                <w:szCs w:val="24"/>
              </w:rPr>
            </w:pPr>
            <w:r>
              <w:rPr>
                <w:rFonts w:hint="eastAsia" w:ascii="宋体" w:hAnsi="宋体" w:cs="宋体"/>
                <w:b/>
                <w:szCs w:val="24"/>
              </w:rPr>
              <w:t>单位名称</w:t>
            </w:r>
          </w:p>
        </w:tc>
        <w:tc>
          <w:tcPr>
            <w:tcW w:w="1134" w:type="dxa"/>
            <w:vMerge w:val="restart"/>
            <w:vAlign w:val="center"/>
          </w:tcPr>
          <w:p>
            <w:pPr>
              <w:spacing w:line="300" w:lineRule="exact"/>
              <w:jc w:val="center"/>
              <w:rPr>
                <w:rFonts w:ascii="Times New Roman" w:hAnsi="Times New Roman"/>
                <w:b/>
                <w:szCs w:val="24"/>
              </w:rPr>
            </w:pPr>
            <w:r>
              <w:rPr>
                <w:rFonts w:hint="eastAsia" w:ascii="宋体" w:hAnsi="宋体" w:cs="宋体"/>
                <w:b/>
                <w:szCs w:val="24"/>
              </w:rPr>
              <w:t>单位性质</w:t>
            </w:r>
          </w:p>
        </w:tc>
        <w:tc>
          <w:tcPr>
            <w:tcW w:w="1276" w:type="dxa"/>
            <w:vMerge w:val="restart"/>
            <w:vAlign w:val="center"/>
          </w:tcPr>
          <w:p>
            <w:pPr>
              <w:spacing w:line="300" w:lineRule="exact"/>
              <w:jc w:val="center"/>
              <w:rPr>
                <w:rFonts w:ascii="Times New Roman" w:hAnsi="Times New Roman"/>
                <w:b/>
                <w:szCs w:val="24"/>
              </w:rPr>
            </w:pPr>
            <w:r>
              <w:rPr>
                <w:rFonts w:hint="eastAsia" w:ascii="宋体" w:hAnsi="宋体" w:cs="宋体"/>
                <w:b/>
                <w:szCs w:val="24"/>
              </w:rPr>
              <w:t>单位规格</w:t>
            </w:r>
          </w:p>
        </w:tc>
        <w:tc>
          <w:tcPr>
            <w:tcW w:w="2902" w:type="dxa"/>
            <w:vMerge w:val="restart"/>
            <w:vAlign w:val="center"/>
          </w:tcPr>
          <w:p>
            <w:pPr>
              <w:spacing w:line="300" w:lineRule="exact"/>
              <w:jc w:val="center"/>
              <w:rPr>
                <w:rFonts w:ascii="Times New Roman" w:hAnsi="Times New Roman"/>
                <w:b/>
                <w:szCs w:val="24"/>
              </w:rPr>
            </w:pPr>
            <w:r>
              <w:rPr>
                <w:rFonts w:hint="eastAsia" w:ascii="宋体" w:hAnsi="宋体" w:cs="宋体"/>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szCs w:val="24"/>
              </w:rPr>
            </w:pPr>
          </w:p>
        </w:tc>
        <w:tc>
          <w:tcPr>
            <w:tcW w:w="1134" w:type="dxa"/>
            <w:vMerge w:val="continue"/>
            <w:vAlign w:val="center"/>
          </w:tcPr>
          <w:p>
            <w:pPr>
              <w:spacing w:line="300" w:lineRule="exact"/>
              <w:jc w:val="left"/>
              <w:outlineLvl w:val="0"/>
              <w:rPr>
                <w:rFonts w:ascii="Times New Roman" w:hAnsi="Times New Roman"/>
                <w:szCs w:val="24"/>
              </w:rPr>
            </w:pPr>
          </w:p>
        </w:tc>
        <w:tc>
          <w:tcPr>
            <w:tcW w:w="1276"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auto"/>
              <w:jc w:val="left"/>
              <w:rPr>
                <w:rFonts w:ascii="Times New Roman" w:hAnsi="Times New Roman"/>
                <w:szCs w:val="24"/>
              </w:rPr>
            </w:pPr>
            <w:r>
              <w:rPr>
                <w:rFonts w:hint="eastAsia" w:ascii="宋体" w:hAnsi="宋体" w:cs="宋体"/>
                <w:sz w:val="22"/>
              </w:rPr>
              <w:t>中国共产党霸州市委员会组织部</w:t>
            </w:r>
          </w:p>
        </w:tc>
        <w:tc>
          <w:tcPr>
            <w:tcW w:w="1134" w:type="dxa"/>
            <w:vAlign w:val="center"/>
          </w:tcPr>
          <w:p>
            <w:pPr>
              <w:spacing w:line="300" w:lineRule="auto"/>
              <w:jc w:val="left"/>
              <w:rPr>
                <w:rFonts w:ascii="Times New Roman" w:hAnsi="Times New Roman"/>
                <w:szCs w:val="24"/>
              </w:rPr>
            </w:pPr>
            <w:r>
              <w:rPr>
                <w:rFonts w:hint="eastAsia" w:ascii="宋体" w:hAnsi="宋体" w:cs="宋体"/>
                <w:sz w:val="22"/>
              </w:rPr>
              <w:t>行政</w:t>
            </w:r>
          </w:p>
        </w:tc>
        <w:tc>
          <w:tcPr>
            <w:tcW w:w="1276" w:type="dxa"/>
            <w:vAlign w:val="center"/>
          </w:tcPr>
          <w:p>
            <w:pPr>
              <w:spacing w:line="300" w:lineRule="auto"/>
              <w:jc w:val="left"/>
              <w:rPr>
                <w:rFonts w:ascii="Times New Roman" w:hAnsi="Times New Roman"/>
                <w:szCs w:val="24"/>
              </w:rPr>
            </w:pPr>
            <w:r>
              <w:rPr>
                <w:rFonts w:hint="eastAsia" w:ascii="宋体" w:hAnsi="宋体" w:cs="宋体"/>
                <w:sz w:val="22"/>
              </w:rPr>
              <w:t>副处级</w:t>
            </w:r>
          </w:p>
        </w:tc>
        <w:tc>
          <w:tcPr>
            <w:tcW w:w="2902" w:type="dxa"/>
            <w:vAlign w:val="center"/>
          </w:tcPr>
          <w:p>
            <w:pPr>
              <w:spacing w:line="300" w:lineRule="auto"/>
              <w:jc w:val="left"/>
              <w:rPr>
                <w:rFonts w:ascii="Times New Roman" w:hAnsi="Times New Roman"/>
                <w:szCs w:val="24"/>
              </w:rPr>
            </w:pPr>
            <w:r>
              <w:rPr>
                <w:rFonts w:hint="eastAsia" w:ascii="宋体" w:hAnsi="宋体" w:cs="宋体"/>
                <w:sz w:val="22"/>
              </w:rPr>
              <w:t>财政拔款</w:t>
            </w:r>
          </w:p>
        </w:tc>
      </w:tr>
    </w:tbl>
    <w:p>
      <w:pPr>
        <w:ind w:firstLine="640" w:firstLineChars="200"/>
        <w:rPr>
          <w:rFonts w:ascii="黑体" w:hAnsi="黑体" w:eastAsia="黑体" w:cs="Times New Roman"/>
          <w:sz w:val="32"/>
          <w:szCs w:val="32"/>
          <w:highlight w:val="none"/>
        </w:rPr>
      </w:pPr>
      <w:r>
        <w:rPr>
          <w:rFonts w:hint="eastAsia" w:ascii="黑体" w:hAnsi="黑体" w:eastAsia="黑体" w:cs="Times New Roman"/>
          <w:sz w:val="32"/>
          <w:szCs w:val="32"/>
          <w:highlight w:val="none"/>
        </w:rPr>
        <w:t>二、部门预算安排的总体情况</w:t>
      </w:r>
    </w:p>
    <w:p>
      <w:pPr>
        <w:ind w:firstLine="64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按照预算管理有关规定，目前我市部门预算的编制实行综合预算制度，即全部收入和支出都反映在预算中。</w:t>
      </w:r>
    </w:p>
    <w:p>
      <w:pPr>
        <w:ind w:firstLine="640"/>
        <w:rPr>
          <w:rFonts w:ascii="楷体_GB2312" w:hAnsi="Times New Roman" w:eastAsia="楷体_GB2312" w:cs="Times New Roman"/>
          <w:b/>
          <w:sz w:val="32"/>
          <w:szCs w:val="32"/>
          <w:highlight w:val="none"/>
        </w:rPr>
      </w:pPr>
      <w:r>
        <w:rPr>
          <w:rFonts w:hint="eastAsia" w:ascii="楷体_GB2312" w:hAnsi="Times New Roman" w:eastAsia="楷体_GB2312" w:cs="Times New Roman"/>
          <w:b/>
          <w:sz w:val="32"/>
          <w:szCs w:val="32"/>
          <w:highlight w:val="none"/>
        </w:rPr>
        <w:t>1、收入说明</w:t>
      </w:r>
    </w:p>
    <w:p>
      <w:pPr>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反映本部门当年全部收入。20</w:t>
      </w:r>
      <w:r>
        <w:rPr>
          <w:rFonts w:ascii="仿宋_GB2312" w:hAnsi="Times New Roman" w:eastAsia="仿宋_GB2312" w:cs="Times New Roman"/>
          <w:sz w:val="32"/>
          <w:szCs w:val="32"/>
          <w:highlight w:val="none"/>
        </w:rPr>
        <w:t>20</w:t>
      </w:r>
      <w:r>
        <w:rPr>
          <w:rFonts w:hint="eastAsia" w:ascii="仿宋_GB2312" w:hAnsi="Times New Roman" w:eastAsia="仿宋_GB2312" w:cs="Times New Roman"/>
          <w:sz w:val="32"/>
          <w:szCs w:val="32"/>
          <w:highlight w:val="none"/>
        </w:rPr>
        <w:t>年预算收入5055.89万元，其中：一般公共预算收入5055.89万元，政府性基金预算收入</w:t>
      </w:r>
      <w:r>
        <w:rPr>
          <w:rFonts w:hint="eastAsia" w:ascii="仿宋_GB2312" w:hAnsi="Times New Roman" w:eastAsia="仿宋_GB2312" w:cs="Times New Roman"/>
          <w:sz w:val="32"/>
          <w:szCs w:val="32"/>
          <w:highlight w:val="none"/>
          <w:lang w:val="en-US" w:eastAsia="zh-CN"/>
        </w:rPr>
        <w:t>0</w:t>
      </w:r>
      <w:r>
        <w:rPr>
          <w:rFonts w:ascii="仿宋_GB2312" w:hAnsi="Times New Roman" w:eastAsia="仿宋_GB2312" w:cs="Times New Roman"/>
          <w:sz w:val="32"/>
          <w:szCs w:val="32"/>
          <w:highlight w:val="none"/>
        </w:rPr>
        <w:t>万元</w:t>
      </w:r>
      <w:r>
        <w:rPr>
          <w:rFonts w:hint="eastAsia" w:ascii="仿宋_GB2312" w:hAnsi="Times New Roman" w:eastAsia="仿宋_GB2312" w:cs="Times New Roman"/>
          <w:sz w:val="32"/>
          <w:szCs w:val="32"/>
          <w:highlight w:val="none"/>
        </w:rPr>
        <w:t>，国有资本经营</w:t>
      </w:r>
      <w:r>
        <w:rPr>
          <w:rFonts w:ascii="仿宋_GB2312" w:hAnsi="Times New Roman" w:eastAsia="仿宋_GB2312" w:cs="Times New Roman"/>
          <w:sz w:val="32"/>
          <w:szCs w:val="32"/>
          <w:highlight w:val="none"/>
        </w:rPr>
        <w:t>预算收入</w:t>
      </w:r>
      <w:r>
        <w:rPr>
          <w:rFonts w:hint="eastAsia" w:ascii="仿宋_GB2312" w:hAnsi="Times New Roman" w:eastAsia="仿宋_GB2312" w:cs="Times New Roman"/>
          <w:sz w:val="32"/>
          <w:szCs w:val="32"/>
          <w:highlight w:val="none"/>
        </w:rPr>
        <w:t>0万元，</w:t>
      </w:r>
      <w:r>
        <w:rPr>
          <w:rFonts w:ascii="仿宋_GB2312" w:hAnsi="Times New Roman" w:eastAsia="仿宋_GB2312" w:cs="Times New Roman"/>
          <w:sz w:val="32"/>
          <w:szCs w:val="32"/>
          <w:highlight w:val="none"/>
        </w:rPr>
        <w:t>上级补助收入</w:t>
      </w:r>
      <w:r>
        <w:rPr>
          <w:rFonts w:hint="eastAsia" w:ascii="仿宋_GB2312" w:hAnsi="Times New Roman" w:eastAsia="仿宋_GB2312" w:cs="Times New Roman"/>
          <w:sz w:val="32"/>
          <w:szCs w:val="32"/>
          <w:highlight w:val="none"/>
        </w:rPr>
        <w:t>0万元，事业收入0万元，经营</w:t>
      </w:r>
      <w:r>
        <w:rPr>
          <w:rFonts w:ascii="仿宋_GB2312" w:hAnsi="Times New Roman" w:eastAsia="仿宋_GB2312" w:cs="Times New Roman"/>
          <w:sz w:val="32"/>
          <w:szCs w:val="32"/>
          <w:highlight w:val="none"/>
        </w:rPr>
        <w:t>收入</w:t>
      </w:r>
      <w:r>
        <w:rPr>
          <w:rFonts w:hint="eastAsia" w:ascii="仿宋_GB2312" w:hAnsi="Times New Roman" w:eastAsia="仿宋_GB2312" w:cs="Times New Roman"/>
          <w:sz w:val="32"/>
          <w:szCs w:val="32"/>
          <w:highlight w:val="none"/>
        </w:rPr>
        <w:t>0万元，附属单位上缴</w:t>
      </w:r>
      <w:r>
        <w:rPr>
          <w:rFonts w:ascii="仿宋_GB2312" w:hAnsi="Times New Roman" w:eastAsia="仿宋_GB2312" w:cs="Times New Roman"/>
          <w:sz w:val="32"/>
          <w:szCs w:val="32"/>
          <w:highlight w:val="none"/>
        </w:rPr>
        <w:t>收入</w:t>
      </w:r>
      <w:r>
        <w:rPr>
          <w:rFonts w:hint="eastAsia" w:ascii="仿宋_GB2312" w:hAnsi="Times New Roman" w:eastAsia="仿宋_GB2312" w:cs="Times New Roman"/>
          <w:sz w:val="32"/>
          <w:szCs w:val="32"/>
          <w:highlight w:val="none"/>
        </w:rPr>
        <w:t>0万元，其他收入</w:t>
      </w:r>
      <w:r>
        <w:rPr>
          <w:rFonts w:hint="eastAsia" w:ascii="仿宋_GB2312" w:hAnsi="Times New Roman" w:eastAsia="仿宋_GB2312" w:cs="Times New Roman"/>
          <w:sz w:val="32"/>
          <w:szCs w:val="32"/>
          <w:highlight w:val="none"/>
          <w:lang w:val="en-US" w:eastAsia="zh-CN"/>
        </w:rPr>
        <w:t>0</w:t>
      </w:r>
      <w:r>
        <w:rPr>
          <w:rFonts w:hint="eastAsia" w:ascii="仿宋_GB2312" w:hAnsi="Times New Roman" w:eastAsia="仿宋_GB2312" w:cs="Times New Roman"/>
          <w:sz w:val="32"/>
          <w:szCs w:val="32"/>
          <w:highlight w:val="none"/>
        </w:rPr>
        <w:t>万元。</w:t>
      </w:r>
    </w:p>
    <w:p>
      <w:pPr>
        <w:ind w:firstLine="640"/>
        <w:rPr>
          <w:rFonts w:ascii="楷体_GB2312" w:hAnsi="Times New Roman" w:eastAsia="楷体_GB2312" w:cs="Times New Roman"/>
          <w:b/>
          <w:sz w:val="32"/>
          <w:szCs w:val="32"/>
          <w:highlight w:val="none"/>
        </w:rPr>
      </w:pPr>
      <w:r>
        <w:rPr>
          <w:rFonts w:hint="eastAsia" w:ascii="楷体_GB2312" w:hAnsi="Times New Roman" w:eastAsia="楷体_GB2312" w:cs="Times New Roman"/>
          <w:b/>
          <w:sz w:val="32"/>
          <w:szCs w:val="32"/>
          <w:highlight w:val="none"/>
        </w:rPr>
        <w:t>2、支出说明</w:t>
      </w:r>
    </w:p>
    <w:p>
      <w:pPr>
        <w:ind w:firstLine="64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收支预算总表支出栏、基本支出表、项目支出表按经济分类和支出功能分类科目编制，反映</w:t>
      </w:r>
      <w:r>
        <w:rPr>
          <w:rFonts w:hint="eastAsia" w:ascii="仿宋_GB2312" w:hAnsi="Times New Roman" w:eastAsia="仿宋_GB2312" w:cs="Times New Roman"/>
          <w:sz w:val="32"/>
          <w:szCs w:val="32"/>
          <w:highlight w:val="none"/>
          <w:lang w:eastAsia="zh-CN"/>
        </w:rPr>
        <w:t>中共霸州市委员会组织部</w:t>
      </w:r>
      <w:r>
        <w:rPr>
          <w:rFonts w:hint="eastAsia" w:ascii="仿宋_GB2312" w:hAnsi="Times New Roman" w:eastAsia="仿宋_GB2312" w:cs="Times New Roman"/>
          <w:sz w:val="32"/>
          <w:szCs w:val="32"/>
          <w:highlight w:val="none"/>
        </w:rPr>
        <w:t>20</w:t>
      </w:r>
      <w:r>
        <w:rPr>
          <w:rFonts w:ascii="仿宋_GB2312" w:hAnsi="Times New Roman" w:eastAsia="仿宋_GB2312" w:cs="Times New Roman"/>
          <w:sz w:val="32"/>
          <w:szCs w:val="32"/>
          <w:highlight w:val="none"/>
        </w:rPr>
        <w:t>20</w:t>
      </w:r>
      <w:r>
        <w:rPr>
          <w:rFonts w:hint="eastAsia" w:ascii="仿宋_GB2312" w:hAnsi="Times New Roman" w:eastAsia="仿宋_GB2312" w:cs="Times New Roman"/>
          <w:sz w:val="32"/>
          <w:szCs w:val="32"/>
          <w:highlight w:val="none"/>
        </w:rPr>
        <w:t>年度部门预算中支出预算的总体情况。20</w:t>
      </w:r>
      <w:r>
        <w:rPr>
          <w:rFonts w:ascii="仿宋_GB2312" w:hAnsi="Times New Roman" w:eastAsia="仿宋_GB2312" w:cs="Times New Roman"/>
          <w:sz w:val="32"/>
          <w:szCs w:val="32"/>
          <w:highlight w:val="none"/>
        </w:rPr>
        <w:t>20</w:t>
      </w:r>
      <w:r>
        <w:rPr>
          <w:rFonts w:hint="eastAsia" w:ascii="仿宋_GB2312" w:hAnsi="Times New Roman" w:eastAsia="仿宋_GB2312" w:cs="Times New Roman"/>
          <w:sz w:val="32"/>
          <w:szCs w:val="32"/>
          <w:highlight w:val="none"/>
        </w:rPr>
        <w:t>年本部门支出预算5055.89万元，其中：基本支出595.92</w:t>
      </w:r>
      <w:r>
        <w:rPr>
          <w:rFonts w:hint="eastAsia" w:ascii="仿宋_GB2312" w:hAnsi="Times New Roman" w:eastAsia="仿宋_GB2312" w:cs="Times New Roman"/>
          <w:sz w:val="32"/>
          <w:szCs w:val="32"/>
          <w:highlight w:val="none"/>
          <w:lang w:val="en-US" w:eastAsia="zh-CN"/>
        </w:rPr>
        <w:t>万</w:t>
      </w:r>
      <w:r>
        <w:rPr>
          <w:rFonts w:hint="eastAsia" w:ascii="仿宋_GB2312" w:hAnsi="Times New Roman" w:eastAsia="仿宋_GB2312" w:cs="Times New Roman"/>
          <w:sz w:val="32"/>
          <w:szCs w:val="32"/>
          <w:highlight w:val="none"/>
        </w:rPr>
        <w:t>元，包括：人员经费517.99</w:t>
      </w:r>
      <w:r>
        <w:rPr>
          <w:rFonts w:ascii="仿宋_GB2312" w:hAnsi="Times New Roman" w:eastAsia="仿宋_GB2312" w:cs="Times New Roman"/>
          <w:sz w:val="32"/>
          <w:szCs w:val="32"/>
          <w:highlight w:val="none"/>
        </w:rPr>
        <w:t>万元</w:t>
      </w:r>
      <w:r>
        <w:rPr>
          <w:rFonts w:hint="eastAsia" w:ascii="仿宋_GB2312" w:hAnsi="Times New Roman" w:eastAsia="仿宋_GB2312" w:cs="Times New Roman"/>
          <w:sz w:val="32"/>
          <w:szCs w:val="32"/>
          <w:highlight w:val="none"/>
        </w:rPr>
        <w:t>和日常公用经费77.93</w:t>
      </w:r>
      <w:r>
        <w:rPr>
          <w:rFonts w:ascii="仿宋_GB2312" w:hAnsi="Times New Roman" w:eastAsia="仿宋_GB2312" w:cs="Times New Roman"/>
          <w:sz w:val="32"/>
          <w:szCs w:val="32"/>
          <w:highlight w:val="none"/>
        </w:rPr>
        <w:t>万元</w:t>
      </w:r>
      <w:r>
        <w:rPr>
          <w:rFonts w:hint="eastAsia" w:ascii="仿宋_GB2312" w:hAnsi="Times New Roman" w:eastAsia="仿宋_GB2312" w:cs="Times New Roman"/>
          <w:sz w:val="32"/>
          <w:szCs w:val="32"/>
          <w:highlight w:val="none"/>
        </w:rPr>
        <w:t>；项目支出4459.97万元，全部为本级</w:t>
      </w:r>
      <w:r>
        <w:rPr>
          <w:rFonts w:ascii="仿宋_GB2312" w:hAnsi="Times New Roman" w:eastAsia="仿宋_GB2312" w:cs="Times New Roman"/>
          <w:sz w:val="32"/>
          <w:szCs w:val="32"/>
          <w:highlight w:val="none"/>
        </w:rPr>
        <w:t>支出，</w:t>
      </w:r>
      <w:r>
        <w:rPr>
          <w:rFonts w:hint="eastAsia" w:ascii="仿宋_GB2312" w:hAnsi="Times New Roman" w:eastAsia="仿宋_GB2312" w:cs="Times New Roman"/>
          <w:sz w:val="32"/>
          <w:szCs w:val="32"/>
          <w:highlight w:val="none"/>
        </w:rPr>
        <w:t>主要为大学生村官工资补贴、党组织和领导干部培训经费、档案工作经费、农村干部基础职务补贴、农村干部基础职务补贴（冀财预[2019]67号）、市管专家待遇经费、网宣工作专项经费、远程教育工作经费；上缴上级支出</w:t>
      </w:r>
      <w:r>
        <w:rPr>
          <w:rFonts w:hint="eastAsia" w:ascii="仿宋_GB2312" w:hAnsi="Times New Roman" w:eastAsia="仿宋_GB2312" w:cs="Times New Roman"/>
          <w:sz w:val="32"/>
          <w:szCs w:val="32"/>
          <w:highlight w:val="none"/>
          <w:lang w:val="en-US" w:eastAsia="zh-CN"/>
        </w:rPr>
        <w:t>0</w:t>
      </w:r>
      <w:r>
        <w:rPr>
          <w:rFonts w:hint="eastAsia" w:ascii="仿宋_GB2312" w:hAnsi="Times New Roman" w:eastAsia="仿宋_GB2312" w:cs="Times New Roman"/>
          <w:sz w:val="32"/>
          <w:szCs w:val="32"/>
          <w:highlight w:val="none"/>
        </w:rPr>
        <w:t>万元，</w:t>
      </w:r>
      <w:r>
        <w:rPr>
          <w:rFonts w:ascii="仿宋_GB2312" w:hAnsi="Times New Roman" w:eastAsia="仿宋_GB2312" w:cs="Times New Roman"/>
          <w:sz w:val="32"/>
          <w:szCs w:val="32"/>
          <w:highlight w:val="none"/>
        </w:rPr>
        <w:t>经营支出</w:t>
      </w:r>
      <w:r>
        <w:rPr>
          <w:rFonts w:hint="eastAsia" w:ascii="仿宋_GB2312" w:hAnsi="Times New Roman" w:eastAsia="仿宋_GB2312" w:cs="Times New Roman"/>
          <w:sz w:val="32"/>
          <w:szCs w:val="32"/>
          <w:highlight w:val="none"/>
          <w:lang w:val="en-US" w:eastAsia="zh-CN"/>
        </w:rPr>
        <w:t>0</w:t>
      </w:r>
      <w:r>
        <w:rPr>
          <w:rFonts w:ascii="仿宋_GB2312" w:hAnsi="Times New Roman" w:eastAsia="仿宋_GB2312" w:cs="Times New Roman"/>
          <w:sz w:val="32"/>
          <w:szCs w:val="32"/>
          <w:highlight w:val="none"/>
        </w:rPr>
        <w:t>万元，</w:t>
      </w:r>
      <w:r>
        <w:rPr>
          <w:rFonts w:hint="eastAsia" w:ascii="仿宋_GB2312" w:hAnsi="Times New Roman" w:eastAsia="仿宋_GB2312" w:cs="Times New Roman"/>
          <w:sz w:val="32"/>
          <w:szCs w:val="32"/>
          <w:highlight w:val="none"/>
        </w:rPr>
        <w:t>对附属单位补助支出</w:t>
      </w:r>
      <w:r>
        <w:rPr>
          <w:rFonts w:hint="eastAsia" w:ascii="仿宋_GB2312" w:hAnsi="Times New Roman" w:eastAsia="仿宋_GB2312" w:cs="Times New Roman"/>
          <w:sz w:val="32"/>
          <w:szCs w:val="32"/>
          <w:highlight w:val="none"/>
          <w:lang w:val="en-US" w:eastAsia="zh-CN"/>
        </w:rPr>
        <w:t>0</w:t>
      </w:r>
      <w:r>
        <w:rPr>
          <w:rFonts w:hint="eastAsia" w:ascii="仿宋_GB2312" w:hAnsi="Times New Roman" w:eastAsia="仿宋_GB2312" w:cs="Times New Roman"/>
          <w:sz w:val="32"/>
          <w:szCs w:val="32"/>
          <w:highlight w:val="none"/>
        </w:rPr>
        <w:t>万元。</w:t>
      </w:r>
    </w:p>
    <w:p>
      <w:pPr>
        <w:ind w:firstLine="640"/>
        <w:rPr>
          <w:rFonts w:ascii="楷体_GB2312" w:hAnsi="Times New Roman" w:eastAsia="楷体_GB2312" w:cs="Times New Roman"/>
          <w:b/>
          <w:sz w:val="32"/>
          <w:szCs w:val="32"/>
          <w:highlight w:val="none"/>
        </w:rPr>
      </w:pPr>
      <w:r>
        <w:rPr>
          <w:rFonts w:hint="eastAsia" w:ascii="楷体_GB2312" w:hAnsi="Times New Roman" w:eastAsia="楷体_GB2312" w:cs="Times New Roman"/>
          <w:b/>
          <w:sz w:val="32"/>
          <w:szCs w:val="32"/>
          <w:highlight w:val="none"/>
        </w:rPr>
        <w:t>3、比上年增减情况</w:t>
      </w:r>
    </w:p>
    <w:p>
      <w:pPr>
        <w:ind w:firstLine="640"/>
        <w:rPr>
          <w:rFonts w:ascii="仿宋_GB2312" w:hAnsi="黑体" w:eastAsia="仿宋_GB2312" w:cs="Times New Roman"/>
          <w:color w:val="000000" w:themeColor="text1"/>
          <w:sz w:val="32"/>
          <w:szCs w:val="32"/>
          <w:highlight w:val="none"/>
        </w:rPr>
      </w:pPr>
      <w:r>
        <w:rPr>
          <w:rFonts w:hint="eastAsia" w:ascii="仿宋_GB2312" w:hAnsi="Times New Roman" w:eastAsia="仿宋_GB2312" w:cs="Times New Roman"/>
          <w:color w:val="000000" w:themeColor="text1"/>
          <w:sz w:val="32"/>
          <w:szCs w:val="32"/>
          <w:highlight w:val="none"/>
        </w:rPr>
        <w:t>20</w:t>
      </w:r>
      <w:r>
        <w:rPr>
          <w:rFonts w:ascii="仿宋_GB2312" w:hAnsi="Times New Roman" w:eastAsia="仿宋_GB2312" w:cs="Times New Roman"/>
          <w:color w:val="000000" w:themeColor="text1"/>
          <w:sz w:val="32"/>
          <w:szCs w:val="32"/>
          <w:highlight w:val="none"/>
        </w:rPr>
        <w:t>20</w:t>
      </w:r>
      <w:r>
        <w:rPr>
          <w:rFonts w:hint="eastAsia" w:ascii="仿宋_GB2312" w:hAnsi="Times New Roman" w:eastAsia="仿宋_GB2312" w:cs="Times New Roman"/>
          <w:color w:val="000000" w:themeColor="text1"/>
          <w:sz w:val="32"/>
          <w:szCs w:val="32"/>
          <w:highlight w:val="none"/>
        </w:rPr>
        <w:t>年预算收</w:t>
      </w:r>
      <w:r>
        <w:rPr>
          <w:rFonts w:hint="eastAsia" w:ascii="仿宋_GB2312" w:hAnsi="Times New Roman" w:eastAsia="仿宋_GB2312" w:cs="Times New Roman"/>
          <w:color w:val="000000" w:themeColor="text1"/>
          <w:sz w:val="32"/>
          <w:szCs w:val="32"/>
          <w:highlight w:val="none"/>
          <w:lang w:eastAsia="zh-CN"/>
        </w:rPr>
        <w:t>支5055.89</w:t>
      </w:r>
      <w:r>
        <w:rPr>
          <w:rFonts w:hint="eastAsia" w:ascii="仿宋_GB2312" w:hAnsi="Times New Roman" w:eastAsia="仿宋_GB2312" w:cs="Times New Roman"/>
          <w:color w:val="000000" w:themeColor="text1"/>
          <w:sz w:val="32"/>
          <w:szCs w:val="32"/>
          <w:highlight w:val="none"/>
        </w:rPr>
        <w:t>万元</w:t>
      </w:r>
      <w:r>
        <w:rPr>
          <w:rFonts w:hint="eastAsia" w:ascii="仿宋_GB2312" w:hAnsi="Times New Roman" w:eastAsia="仿宋_GB2312" w:cs="Times New Roman"/>
          <w:color w:val="000000" w:themeColor="text1"/>
          <w:sz w:val="32"/>
          <w:szCs w:val="32"/>
          <w:highlight w:val="none"/>
          <w:lang w:eastAsia="zh-CN"/>
        </w:rPr>
        <w:t>，</w:t>
      </w:r>
      <w:r>
        <w:rPr>
          <w:rFonts w:hint="eastAsia" w:ascii="仿宋_GB2312" w:hAnsi="Times New Roman" w:eastAsia="仿宋_GB2312" w:cs="Times New Roman"/>
          <w:color w:val="000000" w:themeColor="text1"/>
          <w:sz w:val="32"/>
          <w:szCs w:val="32"/>
          <w:highlight w:val="none"/>
        </w:rPr>
        <w:t>较20</w:t>
      </w:r>
      <w:r>
        <w:rPr>
          <w:rFonts w:ascii="仿宋_GB2312" w:hAnsi="Times New Roman" w:eastAsia="仿宋_GB2312" w:cs="Times New Roman"/>
          <w:color w:val="000000" w:themeColor="text1"/>
          <w:sz w:val="32"/>
          <w:szCs w:val="32"/>
          <w:highlight w:val="none"/>
        </w:rPr>
        <w:t>19</w:t>
      </w:r>
      <w:r>
        <w:rPr>
          <w:rFonts w:hint="eastAsia" w:ascii="仿宋_GB2312" w:hAnsi="Times New Roman" w:eastAsia="仿宋_GB2312" w:cs="Times New Roman"/>
          <w:color w:val="000000" w:themeColor="text1"/>
          <w:sz w:val="32"/>
          <w:szCs w:val="32"/>
          <w:highlight w:val="none"/>
        </w:rPr>
        <w:t>年预算减少</w:t>
      </w:r>
      <w:r>
        <w:rPr>
          <w:rFonts w:hint="eastAsia" w:ascii="仿宋_GB2312" w:hAnsi="Times New Roman" w:eastAsia="仿宋_GB2312" w:cs="Times New Roman"/>
          <w:color w:val="000000" w:themeColor="text1"/>
          <w:sz w:val="32"/>
          <w:szCs w:val="32"/>
          <w:highlight w:val="none"/>
          <w:lang w:val="en-US" w:eastAsia="zh-CN"/>
        </w:rPr>
        <w:t>320.61</w:t>
      </w:r>
      <w:r>
        <w:rPr>
          <w:rFonts w:hint="eastAsia" w:ascii="仿宋_GB2312" w:hAnsi="Times New Roman" w:eastAsia="仿宋_GB2312" w:cs="Times New Roman"/>
          <w:color w:val="000000" w:themeColor="text1"/>
          <w:sz w:val="32"/>
          <w:szCs w:val="32"/>
          <w:highlight w:val="none"/>
        </w:rPr>
        <w:t>万元，其中：基本支出</w:t>
      </w:r>
      <w:r>
        <w:rPr>
          <w:rFonts w:hint="eastAsia" w:ascii="仿宋_GB2312" w:hAnsi="Times New Roman" w:eastAsia="仿宋_GB2312" w:cs="Times New Roman"/>
          <w:color w:val="000000" w:themeColor="text1"/>
          <w:sz w:val="32"/>
          <w:szCs w:val="32"/>
          <w:highlight w:val="none"/>
          <w:lang w:val="en-US" w:eastAsia="zh-CN"/>
        </w:rPr>
        <w:t>增加5.76</w:t>
      </w:r>
      <w:r>
        <w:rPr>
          <w:rFonts w:hint="eastAsia" w:ascii="仿宋_GB2312" w:hAnsi="Times New Roman" w:eastAsia="仿宋_GB2312" w:cs="Times New Roman"/>
          <w:color w:val="000000" w:themeColor="text1"/>
          <w:sz w:val="32"/>
          <w:szCs w:val="32"/>
          <w:highlight w:val="none"/>
        </w:rPr>
        <w:t>万元，主要为</w:t>
      </w:r>
      <w:r>
        <w:rPr>
          <w:rFonts w:hint="eastAsia" w:ascii="仿宋_GB2312" w:hAnsi="Times New Roman" w:eastAsia="仿宋_GB2312" w:cs="Times New Roman"/>
          <w:color w:val="000000" w:themeColor="text1"/>
          <w:sz w:val="32"/>
          <w:szCs w:val="32"/>
          <w:highlight w:val="none"/>
          <w:lang w:val="en-US" w:eastAsia="zh-CN"/>
        </w:rPr>
        <w:t>增加了日常公用支出</w:t>
      </w:r>
      <w:r>
        <w:rPr>
          <w:rFonts w:hint="eastAsia" w:ascii="仿宋_GB2312" w:hAnsi="Times New Roman" w:eastAsia="仿宋_GB2312" w:cs="Times New Roman"/>
          <w:color w:val="000000" w:themeColor="text1"/>
          <w:sz w:val="32"/>
          <w:szCs w:val="32"/>
          <w:highlight w:val="none"/>
        </w:rPr>
        <w:t>；项目支出减少</w:t>
      </w:r>
      <w:r>
        <w:rPr>
          <w:rFonts w:hint="eastAsia" w:ascii="仿宋_GB2312" w:hAnsi="Times New Roman" w:eastAsia="仿宋_GB2312" w:cs="Times New Roman"/>
          <w:color w:val="000000" w:themeColor="text1"/>
          <w:sz w:val="32"/>
          <w:szCs w:val="32"/>
          <w:highlight w:val="none"/>
          <w:lang w:val="en-US" w:eastAsia="zh-CN"/>
        </w:rPr>
        <w:t>326.37</w:t>
      </w:r>
      <w:r>
        <w:rPr>
          <w:rFonts w:hint="eastAsia" w:ascii="仿宋_GB2312" w:hAnsi="Times New Roman" w:eastAsia="仿宋_GB2312" w:cs="Times New Roman"/>
          <w:color w:val="000000" w:themeColor="text1"/>
          <w:sz w:val="32"/>
          <w:szCs w:val="32"/>
          <w:highlight w:val="none"/>
        </w:rPr>
        <w:t>万元，主要为减少了组织事务管理中的综合事务管理项目支出。</w:t>
      </w:r>
    </w:p>
    <w:p>
      <w:pPr>
        <w:ind w:firstLine="640" w:firstLineChars="200"/>
        <w:rPr>
          <w:rFonts w:ascii="黑体" w:hAnsi="黑体" w:eastAsia="黑体" w:cs="Times New Roman"/>
          <w:sz w:val="32"/>
          <w:szCs w:val="32"/>
          <w:highlight w:val="none"/>
        </w:rPr>
      </w:pPr>
      <w:r>
        <w:rPr>
          <w:rFonts w:hint="eastAsia" w:ascii="黑体" w:hAnsi="黑体" w:eastAsia="黑体" w:cs="Times New Roman"/>
          <w:sz w:val="32"/>
          <w:szCs w:val="32"/>
          <w:highlight w:val="none"/>
        </w:rPr>
        <w:t>三、机关运行经费安排情况</w:t>
      </w:r>
    </w:p>
    <w:p>
      <w:pPr>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机关运行经费共计安排</w:t>
      </w:r>
      <w:r>
        <w:rPr>
          <w:rFonts w:hint="eastAsia" w:ascii="仿宋_GB2312" w:hAnsi="Times New Roman" w:eastAsia="仿宋_GB2312" w:cs="Times New Roman"/>
          <w:sz w:val="32"/>
          <w:szCs w:val="32"/>
          <w:highlight w:val="none"/>
          <w:lang w:val="en-US" w:eastAsia="zh-CN"/>
        </w:rPr>
        <w:t>77.93</w:t>
      </w:r>
      <w:r>
        <w:rPr>
          <w:rFonts w:hint="eastAsia" w:ascii="仿宋_GB2312" w:hAnsi="Times New Roman" w:eastAsia="仿宋_GB2312" w:cs="Times New Roman"/>
          <w:sz w:val="32"/>
          <w:szCs w:val="32"/>
          <w:highlight w:val="none"/>
        </w:rPr>
        <w:t>万元，主要用于办公区的日常维修、办公用房水电费、办公用房取暖费、办公及印刷费，邮电费、差旅费、福利费、专用材料及一般设备购置费、办公用房物业管理费、公务用车运行维护费等日常运行支出。</w:t>
      </w:r>
    </w:p>
    <w:p>
      <w:pPr>
        <w:ind w:firstLine="640" w:firstLineChars="200"/>
        <w:rPr>
          <w:rFonts w:ascii="黑体" w:hAnsi="黑体" w:eastAsia="黑体" w:cs="Times New Roman"/>
          <w:sz w:val="32"/>
          <w:szCs w:val="32"/>
          <w:highlight w:val="none"/>
        </w:rPr>
      </w:pPr>
      <w:r>
        <w:rPr>
          <w:rFonts w:hint="eastAsia" w:ascii="黑体" w:hAnsi="黑体" w:eastAsia="黑体" w:cs="Times New Roman"/>
          <w:sz w:val="32"/>
          <w:szCs w:val="32"/>
          <w:highlight w:val="none"/>
        </w:rPr>
        <w:t>四、财政拨款</w:t>
      </w:r>
      <w:r>
        <w:rPr>
          <w:rFonts w:ascii="黑体" w:hAnsi="黑体" w:eastAsia="黑体" w:cs="Times New Roman"/>
          <w:sz w:val="32"/>
          <w:szCs w:val="32"/>
          <w:highlight w:val="none"/>
        </w:rPr>
        <w:t>“</w:t>
      </w:r>
      <w:r>
        <w:rPr>
          <w:rFonts w:hint="eastAsia" w:ascii="黑体" w:hAnsi="黑体" w:eastAsia="黑体" w:cs="Times New Roman"/>
          <w:sz w:val="32"/>
          <w:szCs w:val="32"/>
          <w:highlight w:val="none"/>
        </w:rPr>
        <w:t>三公</w:t>
      </w:r>
      <w:r>
        <w:rPr>
          <w:rFonts w:ascii="黑体" w:hAnsi="黑体" w:eastAsia="黑体" w:cs="Times New Roman"/>
          <w:sz w:val="32"/>
          <w:szCs w:val="32"/>
          <w:highlight w:val="none"/>
        </w:rPr>
        <w:t>”</w:t>
      </w:r>
      <w:r>
        <w:rPr>
          <w:rFonts w:hint="eastAsia" w:ascii="黑体" w:hAnsi="黑体" w:eastAsia="黑体" w:cs="Times New Roman"/>
          <w:sz w:val="32"/>
          <w:szCs w:val="32"/>
          <w:highlight w:val="none"/>
        </w:rPr>
        <w:t>经费预算情况及增减变化原因</w:t>
      </w:r>
    </w:p>
    <w:p>
      <w:pPr>
        <w:ind w:firstLine="640" w:firstLineChars="200"/>
        <w:rPr>
          <w:rFonts w:hint="eastAsia" w:ascii="仿宋_GB2312" w:hAnsi="Times New Roman" w:eastAsia="仿宋_GB2312" w:cs="Times New Roman"/>
          <w:b/>
          <w:color w:val="FF0000"/>
          <w:sz w:val="32"/>
          <w:szCs w:val="32"/>
          <w:highlight w:val="none"/>
          <w:lang w:eastAsia="zh-CN"/>
        </w:rPr>
      </w:pPr>
      <w:r>
        <w:rPr>
          <w:rFonts w:hint="eastAsia" w:ascii="仿宋_GB2312" w:hAnsi="Times New Roman" w:eastAsia="仿宋_GB2312" w:cs="Times New Roman"/>
          <w:sz w:val="32"/>
          <w:szCs w:val="32"/>
          <w:highlight w:val="none"/>
        </w:rPr>
        <w:t>20</w:t>
      </w:r>
      <w:r>
        <w:rPr>
          <w:rFonts w:ascii="仿宋_GB2312" w:hAnsi="Times New Roman" w:eastAsia="仿宋_GB2312" w:cs="Times New Roman"/>
          <w:sz w:val="32"/>
          <w:szCs w:val="32"/>
          <w:highlight w:val="none"/>
        </w:rPr>
        <w:t>20</w:t>
      </w:r>
      <w:r>
        <w:rPr>
          <w:rFonts w:hint="eastAsia" w:ascii="仿宋_GB2312" w:hAnsi="Times New Roman" w:eastAsia="仿宋_GB2312" w:cs="Times New Roman"/>
          <w:sz w:val="32"/>
          <w:szCs w:val="32"/>
          <w:highlight w:val="none"/>
        </w:rPr>
        <w:t>年，我部门“三公”经费预算安排5.14万元，其中：因公出国（境）费</w:t>
      </w:r>
      <w:r>
        <w:rPr>
          <w:rFonts w:hint="eastAsia" w:ascii="仿宋_GB2312" w:hAnsi="Times New Roman" w:eastAsia="仿宋_GB2312" w:cs="Times New Roman"/>
          <w:sz w:val="32"/>
          <w:szCs w:val="32"/>
          <w:highlight w:val="none"/>
          <w:lang w:val="en-US" w:eastAsia="zh-CN"/>
        </w:rPr>
        <w:t>0</w:t>
      </w:r>
      <w:r>
        <w:rPr>
          <w:rFonts w:hint="eastAsia" w:ascii="仿宋_GB2312" w:hAnsi="Times New Roman" w:eastAsia="仿宋_GB2312" w:cs="Times New Roman"/>
          <w:sz w:val="32"/>
          <w:szCs w:val="32"/>
          <w:highlight w:val="none"/>
        </w:rPr>
        <w:t>万元</w:t>
      </w:r>
      <w:r>
        <w:rPr>
          <w:rFonts w:hint="eastAsia" w:ascii="仿宋_GB2312" w:hAnsi="Times New Roman" w:eastAsia="仿宋_GB2312" w:cs="Times New Roman"/>
          <w:sz w:val="32"/>
          <w:szCs w:val="32"/>
          <w:highlight w:val="none"/>
          <w:lang w:eastAsia="zh-CN"/>
        </w:rPr>
        <w:t>，主要是因为因公出国（境）费与2019年持平，无增减变化</w:t>
      </w:r>
      <w:r>
        <w:rPr>
          <w:rFonts w:hint="eastAsia" w:ascii="仿宋_GB2312" w:hAnsi="Times New Roman" w:eastAsia="仿宋_GB2312" w:cs="Times New Roman"/>
          <w:sz w:val="32"/>
          <w:szCs w:val="32"/>
          <w:highlight w:val="none"/>
        </w:rPr>
        <w:t>；公务用车购置及运维费5万元（其中：公务用车购置费</w:t>
      </w:r>
      <w:r>
        <w:rPr>
          <w:rFonts w:hint="eastAsia" w:ascii="仿宋_GB2312" w:hAnsi="Times New Roman" w:eastAsia="仿宋_GB2312" w:cs="Times New Roman"/>
          <w:sz w:val="32"/>
          <w:szCs w:val="32"/>
          <w:highlight w:val="none"/>
          <w:lang w:val="en-US" w:eastAsia="zh-CN"/>
        </w:rPr>
        <w:t>0</w:t>
      </w:r>
      <w:r>
        <w:rPr>
          <w:rFonts w:hint="eastAsia" w:ascii="仿宋_GB2312" w:hAnsi="Times New Roman" w:eastAsia="仿宋_GB2312" w:cs="Times New Roman"/>
          <w:sz w:val="32"/>
          <w:szCs w:val="32"/>
          <w:highlight w:val="none"/>
        </w:rPr>
        <w:t>万元，公务用车运行维护费</w:t>
      </w:r>
      <w:r>
        <w:rPr>
          <w:rFonts w:hint="eastAsia" w:ascii="仿宋_GB2312" w:hAnsi="Times New Roman" w:eastAsia="仿宋_GB2312" w:cs="Times New Roman"/>
          <w:sz w:val="32"/>
          <w:szCs w:val="32"/>
          <w:highlight w:val="none"/>
          <w:lang w:val="en-US" w:eastAsia="zh-CN"/>
        </w:rPr>
        <w:t>5</w:t>
      </w:r>
      <w:r>
        <w:rPr>
          <w:rFonts w:hint="eastAsia" w:ascii="仿宋_GB2312" w:hAnsi="Times New Roman" w:eastAsia="仿宋_GB2312" w:cs="Times New Roman"/>
          <w:sz w:val="32"/>
          <w:szCs w:val="32"/>
          <w:highlight w:val="none"/>
        </w:rPr>
        <w:t>万元)主要是因为公务用车运行维护费与2019年持平，无增减变化；公务接待费</w:t>
      </w:r>
      <w:r>
        <w:rPr>
          <w:rFonts w:hint="eastAsia" w:ascii="仿宋_GB2312" w:hAnsi="Times New Roman" w:eastAsia="仿宋_GB2312" w:cs="Times New Roman"/>
          <w:sz w:val="32"/>
          <w:szCs w:val="32"/>
          <w:highlight w:val="none"/>
          <w:lang w:val="en-US" w:eastAsia="zh-CN"/>
        </w:rPr>
        <w:t>0.14</w:t>
      </w:r>
      <w:r>
        <w:rPr>
          <w:rFonts w:hint="eastAsia" w:ascii="仿宋_GB2312" w:hAnsi="Times New Roman" w:eastAsia="仿宋_GB2312" w:cs="Times New Roman"/>
          <w:sz w:val="32"/>
          <w:szCs w:val="32"/>
          <w:highlight w:val="none"/>
        </w:rPr>
        <w:t>万元，较20</w:t>
      </w:r>
      <w:r>
        <w:rPr>
          <w:rFonts w:ascii="仿宋_GB2312" w:hAnsi="Times New Roman" w:eastAsia="仿宋_GB2312" w:cs="Times New Roman"/>
          <w:sz w:val="32"/>
          <w:szCs w:val="32"/>
          <w:highlight w:val="none"/>
        </w:rPr>
        <w:t>19</w:t>
      </w:r>
      <w:r>
        <w:rPr>
          <w:rFonts w:hint="eastAsia" w:ascii="仿宋_GB2312" w:hAnsi="Times New Roman" w:eastAsia="仿宋_GB2312" w:cs="Times New Roman"/>
          <w:sz w:val="32"/>
          <w:szCs w:val="32"/>
          <w:highlight w:val="none"/>
        </w:rPr>
        <w:t>年“三公”经</w:t>
      </w:r>
      <w:r>
        <w:rPr>
          <w:rFonts w:hint="eastAsia" w:ascii="仿宋_GB2312" w:hAnsi="Times New Roman" w:eastAsia="仿宋_GB2312" w:cs="Times New Roman"/>
          <w:color w:val="auto"/>
          <w:sz w:val="32"/>
          <w:szCs w:val="32"/>
          <w:highlight w:val="none"/>
        </w:rPr>
        <w:t>费减少</w:t>
      </w:r>
      <w:r>
        <w:rPr>
          <w:rFonts w:hint="eastAsia" w:ascii="仿宋_GB2312" w:hAnsi="Times New Roman" w:eastAsia="仿宋_GB2312" w:cs="Times New Roman"/>
          <w:color w:val="auto"/>
          <w:sz w:val="32"/>
          <w:szCs w:val="32"/>
          <w:highlight w:val="none"/>
          <w:lang w:val="en-US" w:eastAsia="zh-CN"/>
        </w:rPr>
        <w:t>0.24</w:t>
      </w:r>
      <w:r>
        <w:rPr>
          <w:rFonts w:hint="eastAsia" w:ascii="仿宋_GB2312" w:hAnsi="Times New Roman" w:eastAsia="仿宋_GB2312" w:cs="Times New Roman"/>
          <w:sz w:val="32"/>
          <w:szCs w:val="32"/>
          <w:highlight w:val="none"/>
        </w:rPr>
        <w:t>万元，主要</w:t>
      </w:r>
      <w:r>
        <w:rPr>
          <w:rFonts w:hint="eastAsia" w:ascii="仿宋_GB2312" w:hAnsi="Times New Roman" w:eastAsia="仿宋_GB2312" w:cs="Times New Roman"/>
          <w:sz w:val="32"/>
          <w:szCs w:val="32"/>
          <w:highlight w:val="none"/>
          <w:lang w:eastAsia="zh-CN"/>
        </w:rPr>
        <w:t>是因</w:t>
      </w:r>
      <w:r>
        <w:rPr>
          <w:rFonts w:hint="eastAsia" w:ascii="仿宋_GB2312" w:hAnsi="Times New Roman" w:eastAsia="仿宋_GB2312" w:cs="Times New Roman"/>
          <w:sz w:val="32"/>
          <w:szCs w:val="32"/>
          <w:highlight w:val="none"/>
        </w:rPr>
        <w:t>为我部门严格规范公务接待费用</w:t>
      </w:r>
      <w:r>
        <w:rPr>
          <w:rFonts w:hint="eastAsia" w:ascii="仿宋_GB2312" w:hAnsi="Times New Roman" w:eastAsia="仿宋_GB2312" w:cs="Times New Roman"/>
          <w:sz w:val="32"/>
          <w:szCs w:val="32"/>
          <w:highlight w:val="none"/>
          <w:lang w:eastAsia="zh-CN"/>
        </w:rPr>
        <w:t>。</w:t>
      </w:r>
    </w:p>
    <w:p>
      <w:pPr>
        <w:ind w:firstLine="640" w:firstLineChars="200"/>
        <w:rPr>
          <w:rFonts w:ascii="黑体" w:hAnsi="黑体" w:eastAsia="黑体" w:cs="Times New Roman"/>
          <w:sz w:val="32"/>
          <w:szCs w:val="32"/>
          <w:highlight w:val="none"/>
        </w:rPr>
      </w:pPr>
      <w:r>
        <w:rPr>
          <w:rFonts w:hint="eastAsia" w:ascii="黑体" w:hAnsi="黑体" w:eastAsia="黑体" w:cs="Times New Roman"/>
          <w:sz w:val="32"/>
          <w:szCs w:val="32"/>
          <w:highlight w:val="none"/>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highlight w:val="none"/>
        </w:rPr>
      </w:pPr>
      <w:bookmarkStart w:id="0" w:name="_Toc471398463"/>
      <w:r>
        <w:rPr>
          <w:rFonts w:hint="eastAsia" w:ascii="楷体_GB2312" w:hAnsi="Times New Roman" w:eastAsia="楷体_GB2312" w:cs="Times New Roman"/>
          <w:b/>
          <w:sz w:val="32"/>
          <w:szCs w:val="32"/>
          <w:highlight w:val="none"/>
        </w:rPr>
        <w:t>第一部分 部门整体绩效</w:t>
      </w:r>
      <w:r>
        <w:rPr>
          <w:rFonts w:ascii="楷体_GB2312" w:hAnsi="Times New Roman" w:eastAsia="楷体_GB2312" w:cs="Times New Roman"/>
          <w:b/>
          <w:sz w:val="32"/>
          <w:szCs w:val="32"/>
          <w:highlight w:val="none"/>
        </w:rPr>
        <w:t>目标</w:t>
      </w:r>
    </w:p>
    <w:p>
      <w:pPr>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（一）</w:t>
      </w:r>
      <w:r>
        <w:rPr>
          <w:rFonts w:ascii="仿宋_GB2312" w:hAnsi="Times New Roman" w:eastAsia="仿宋_GB2312" w:cs="Times New Roman"/>
          <w:sz w:val="32"/>
          <w:szCs w:val="32"/>
          <w:highlight w:val="none"/>
        </w:rPr>
        <w:t>总体绩效目标</w:t>
      </w:r>
    </w:p>
    <w:p>
      <w:pPr>
        <w:ind w:firstLine="640" w:firstLineChars="200"/>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rPr>
        <w:t>深入学习贯彻习近平新时代中国特色社会主义思想和党的十九大精神，贯彻落实全国、省和廊坊市组织工作会议、组织部长会议精神，树牢“四个意识”、坚定“四个自信”、坚决做到“两个维护”，牢牢把握坚持党要管党、全面从严治党这个指导方针，全面落实新时代党的建设总要求，以党的政治建设为统领，深入开展“不忘初心、牢记使命”主题教育，扎实推进党的组织体系建设，着力建设忠诚干净担当的高素质干部队伍，着力集聚爱国奉献的各方面优秀人才，强化责任担当、锐意改革创新、狠抓工作落实，为加快建设新时代经济强市、生态新城、美丽霸州提供坚强的组织保证</w:t>
      </w:r>
      <w:r>
        <w:rPr>
          <w:rFonts w:hint="eastAsia" w:ascii="仿宋_GB2312" w:hAnsi="Times New Roman" w:eastAsia="仿宋_GB2312" w:cs="Times New Roman"/>
          <w:sz w:val="32"/>
          <w:szCs w:val="32"/>
          <w:highlight w:val="none"/>
          <w:lang w:eastAsia="zh-CN"/>
        </w:rPr>
        <w:t>。</w:t>
      </w:r>
    </w:p>
    <w:p>
      <w:pPr>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（二）分项</w:t>
      </w:r>
      <w:r>
        <w:rPr>
          <w:rFonts w:ascii="仿宋_GB2312" w:hAnsi="Times New Roman" w:eastAsia="仿宋_GB2312" w:cs="Times New Roman"/>
          <w:sz w:val="32"/>
          <w:szCs w:val="32"/>
          <w:highlight w:val="none"/>
        </w:rPr>
        <w:t>绩效目标</w:t>
      </w:r>
    </w:p>
    <w:p>
      <w:pPr>
        <w:numPr>
          <w:ilvl w:val="0"/>
          <w:numId w:val="0"/>
        </w:numPr>
        <w:ind w:firstLine="640" w:firstLineChars="200"/>
        <w:rPr>
          <w:rFonts w:hint="eastAsia" w:ascii="仿宋_GB2312" w:hAnsi="Times New Roman" w:eastAsia="仿宋_GB2312" w:cs="Times New Roman"/>
          <w:b w:val="0"/>
          <w:bCs/>
          <w:color w:val="auto"/>
          <w:sz w:val="32"/>
          <w:szCs w:val="32"/>
          <w:highlight w:val="none"/>
          <w:lang w:val="en-US" w:eastAsia="zh-CN"/>
        </w:rPr>
      </w:pPr>
      <w:r>
        <w:rPr>
          <w:rFonts w:hint="eastAsia" w:ascii="仿宋_GB2312" w:hAnsi="Times New Roman" w:eastAsia="仿宋_GB2312" w:cs="Times New Roman"/>
          <w:b w:val="0"/>
          <w:bCs/>
          <w:color w:val="auto"/>
          <w:sz w:val="32"/>
          <w:szCs w:val="32"/>
          <w:highlight w:val="none"/>
          <w:lang w:val="en-US" w:eastAsia="zh-CN"/>
        </w:rPr>
        <w:t>1、强化全市乡科级干部和基层干部教育培训工作。</w:t>
      </w:r>
    </w:p>
    <w:p>
      <w:pPr>
        <w:numPr>
          <w:ilvl w:val="0"/>
          <w:numId w:val="0"/>
        </w:numPr>
        <w:ind w:leftChars="200" w:firstLine="640" w:firstLineChars="200"/>
        <w:rPr>
          <w:rFonts w:hint="eastAsia" w:ascii="仿宋_GB2312" w:hAnsi="Times New Roman" w:eastAsia="仿宋_GB2312" w:cs="Times New Roman"/>
          <w:b w:val="0"/>
          <w:bCs/>
          <w:color w:val="auto"/>
          <w:sz w:val="32"/>
          <w:szCs w:val="32"/>
          <w:highlight w:val="none"/>
          <w:lang w:val="en-US" w:eastAsia="zh-CN"/>
        </w:rPr>
      </w:pPr>
      <w:r>
        <w:rPr>
          <w:rFonts w:hint="eastAsia" w:ascii="仿宋_GB2312" w:hAnsi="Times New Roman" w:eastAsia="仿宋_GB2312" w:cs="Times New Roman"/>
          <w:b w:val="0"/>
          <w:bCs/>
          <w:color w:val="auto"/>
          <w:sz w:val="32"/>
          <w:szCs w:val="32"/>
          <w:highlight w:val="none"/>
          <w:lang w:val="en-US" w:eastAsia="zh-CN"/>
        </w:rPr>
        <w:t>绩效目标：贯彻落实全国、全省和廊坊市干部教育培训规划，坚持把习近平新时代中国特色社会主义思想教育培训作为首要任务，重点开展科级干部、股级干部、年轻干部、党务干部大培训，充分利用网络平台，加强网络培训监管力度，全面加强政治训练，强化党章党规党纪、党的宗旨、优良传统和政德学习教育。围绕市委七届五次全会决策部署，引导和帮助广大干部丰富专业知识、提升专业能力、培育专业精神，开展干部素质提升走进“名牌大学讲堂”专题培训活动，用足用好知名大学优质教育资源，以科级干部为重点开展专题培训。</w:t>
      </w:r>
    </w:p>
    <w:p>
      <w:pPr>
        <w:numPr>
          <w:ilvl w:val="0"/>
          <w:numId w:val="0"/>
        </w:numPr>
        <w:ind w:leftChars="200" w:firstLine="640" w:firstLineChars="200"/>
        <w:rPr>
          <w:rFonts w:hint="eastAsia" w:ascii="仿宋_GB2312" w:hAnsi="Times New Roman" w:eastAsia="仿宋_GB2312" w:cs="Times New Roman"/>
          <w:b w:val="0"/>
          <w:bCs/>
          <w:color w:val="auto"/>
          <w:sz w:val="32"/>
          <w:szCs w:val="32"/>
          <w:highlight w:val="none"/>
          <w:lang w:val="en-US" w:eastAsia="zh-CN"/>
        </w:rPr>
      </w:pPr>
      <w:r>
        <w:rPr>
          <w:rFonts w:hint="eastAsia" w:ascii="仿宋_GB2312" w:hAnsi="Times New Roman" w:eastAsia="仿宋_GB2312" w:cs="Times New Roman"/>
          <w:b w:val="0"/>
          <w:bCs/>
          <w:color w:val="auto"/>
          <w:sz w:val="32"/>
          <w:szCs w:val="32"/>
          <w:highlight w:val="none"/>
          <w:lang w:val="en-US" w:eastAsia="zh-CN"/>
        </w:rPr>
        <w:t>绩效指标：“组织乡科级干部培训≥8次”，“组织基层组织人员培训≥5次”，“参加培训人员数量 ≥800人”。</w:t>
      </w:r>
    </w:p>
    <w:p>
      <w:pPr>
        <w:numPr>
          <w:ilvl w:val="0"/>
          <w:numId w:val="0"/>
        </w:numPr>
        <w:ind w:firstLine="640" w:firstLineChars="200"/>
        <w:rPr>
          <w:rFonts w:hint="eastAsia" w:ascii="仿宋_GB2312" w:hAnsi="Times New Roman" w:eastAsia="仿宋_GB2312" w:cs="Times New Roman"/>
          <w:b w:val="0"/>
          <w:bCs/>
          <w:color w:val="auto"/>
          <w:sz w:val="32"/>
          <w:szCs w:val="32"/>
          <w:highlight w:val="none"/>
          <w:lang w:val="en-US" w:eastAsia="zh-CN"/>
        </w:rPr>
      </w:pPr>
      <w:r>
        <w:rPr>
          <w:rFonts w:hint="eastAsia" w:ascii="仿宋_GB2312" w:hAnsi="Times New Roman" w:eastAsia="仿宋_GB2312" w:cs="Times New Roman"/>
          <w:b w:val="0"/>
          <w:bCs/>
          <w:color w:val="auto"/>
          <w:sz w:val="32"/>
          <w:szCs w:val="32"/>
          <w:highlight w:val="none"/>
          <w:lang w:val="en-US" w:eastAsia="zh-CN"/>
        </w:rPr>
        <w:t>2、继续巩固“不忘初心、牢记使命”主题教育工作。</w:t>
      </w:r>
    </w:p>
    <w:p>
      <w:pPr>
        <w:numPr>
          <w:ilvl w:val="0"/>
          <w:numId w:val="0"/>
        </w:numPr>
        <w:ind w:leftChars="200" w:firstLine="640" w:firstLineChars="200"/>
        <w:rPr>
          <w:rFonts w:hint="eastAsia" w:ascii="仿宋_GB2312" w:hAnsi="Times New Roman" w:eastAsia="仿宋_GB2312" w:cs="Times New Roman"/>
          <w:b w:val="0"/>
          <w:bCs/>
          <w:color w:val="auto"/>
          <w:sz w:val="32"/>
          <w:szCs w:val="32"/>
          <w:highlight w:val="none"/>
          <w:lang w:val="en-US" w:eastAsia="zh-CN"/>
        </w:rPr>
      </w:pPr>
      <w:r>
        <w:rPr>
          <w:rFonts w:hint="eastAsia" w:ascii="仿宋_GB2312" w:hAnsi="Times New Roman" w:eastAsia="仿宋_GB2312" w:cs="Times New Roman"/>
          <w:b w:val="0"/>
          <w:bCs/>
          <w:color w:val="auto"/>
          <w:sz w:val="32"/>
          <w:szCs w:val="32"/>
          <w:highlight w:val="none"/>
          <w:lang w:val="en-US" w:eastAsia="zh-CN"/>
        </w:rPr>
        <w:t>绩效目标：按照中央部署和省、市委要求，以学习贯彻习近平新时代中国特色社会主义思想为主要内容，坚持问题导向，认真开展“不忘初心、牢记使命”主题教育，着力解决信念不坚定、宗旨不牢固、初心缺失、使命感不强、担当不力等突出问题。</w:t>
      </w:r>
    </w:p>
    <w:p>
      <w:pPr>
        <w:numPr>
          <w:ilvl w:val="0"/>
          <w:numId w:val="0"/>
        </w:numPr>
        <w:ind w:leftChars="200" w:firstLine="640" w:firstLineChars="200"/>
        <w:rPr>
          <w:rFonts w:hint="eastAsia" w:ascii="仿宋_GB2312" w:hAnsi="Times New Roman" w:eastAsia="仿宋_GB2312" w:cs="Times New Roman"/>
          <w:b w:val="0"/>
          <w:bCs/>
          <w:color w:val="auto"/>
          <w:sz w:val="32"/>
          <w:szCs w:val="32"/>
          <w:highlight w:val="none"/>
          <w:lang w:val="en-US" w:eastAsia="zh-CN"/>
        </w:rPr>
      </w:pPr>
      <w:r>
        <w:rPr>
          <w:rFonts w:hint="eastAsia" w:ascii="仿宋_GB2312" w:hAnsi="Times New Roman" w:eastAsia="仿宋_GB2312" w:cs="Times New Roman"/>
          <w:b w:val="0"/>
          <w:bCs/>
          <w:color w:val="auto"/>
          <w:sz w:val="32"/>
          <w:szCs w:val="32"/>
          <w:highlight w:val="none"/>
          <w:lang w:val="en-US" w:eastAsia="zh-CN"/>
        </w:rPr>
        <w:t>绩效指标：“活动教育会议次数≥2次”，“印制学习资料≥20000份”。</w:t>
      </w:r>
    </w:p>
    <w:p>
      <w:pPr>
        <w:numPr>
          <w:ilvl w:val="0"/>
          <w:numId w:val="0"/>
        </w:numPr>
        <w:ind w:firstLine="640" w:firstLineChars="200"/>
        <w:rPr>
          <w:rFonts w:hint="eastAsia" w:ascii="仿宋_GB2312" w:hAnsi="Times New Roman" w:eastAsia="仿宋_GB2312" w:cs="Times New Roman"/>
          <w:b w:val="0"/>
          <w:bCs/>
          <w:color w:val="auto"/>
          <w:sz w:val="32"/>
          <w:szCs w:val="32"/>
          <w:highlight w:val="none"/>
          <w:lang w:val="en-US" w:eastAsia="zh-CN"/>
        </w:rPr>
      </w:pPr>
      <w:r>
        <w:rPr>
          <w:rFonts w:hint="eastAsia" w:ascii="仿宋_GB2312" w:hAnsi="Times New Roman" w:eastAsia="仿宋_GB2312" w:cs="Times New Roman"/>
          <w:b w:val="0"/>
          <w:bCs/>
          <w:color w:val="auto"/>
          <w:sz w:val="32"/>
          <w:szCs w:val="32"/>
          <w:highlight w:val="none"/>
          <w:lang w:val="en-US" w:eastAsia="zh-CN"/>
        </w:rPr>
        <w:t>3、牵头抓好重点工作大督查。</w:t>
      </w:r>
    </w:p>
    <w:p>
      <w:pPr>
        <w:numPr>
          <w:ilvl w:val="0"/>
          <w:numId w:val="0"/>
        </w:numPr>
        <w:ind w:leftChars="200" w:firstLine="640" w:firstLineChars="200"/>
        <w:rPr>
          <w:rFonts w:hint="eastAsia" w:ascii="仿宋_GB2312" w:hAnsi="Times New Roman" w:eastAsia="仿宋_GB2312" w:cs="Times New Roman"/>
          <w:b w:val="0"/>
          <w:bCs/>
          <w:color w:val="auto"/>
          <w:sz w:val="32"/>
          <w:szCs w:val="32"/>
          <w:highlight w:val="none"/>
          <w:lang w:val="en-US" w:eastAsia="zh-CN"/>
        </w:rPr>
      </w:pPr>
      <w:r>
        <w:rPr>
          <w:rFonts w:hint="eastAsia" w:ascii="仿宋_GB2312" w:hAnsi="Times New Roman" w:eastAsia="仿宋_GB2312" w:cs="Times New Roman"/>
          <w:b w:val="0"/>
          <w:bCs/>
          <w:color w:val="auto"/>
          <w:sz w:val="32"/>
          <w:szCs w:val="32"/>
          <w:highlight w:val="none"/>
          <w:lang w:val="en-US" w:eastAsia="zh-CN"/>
        </w:rPr>
        <w:t>绩效目标：将“三深化三提升”活动开展情况、防范化解重大风险等纳入重点工作大督查范围，围绕中央重大决策部署和省、廊坊市、霸州市委重点任务，真督实查、较真碰硬，及时发现移交问题线索，加大盯办力度。</w:t>
      </w:r>
    </w:p>
    <w:p>
      <w:pPr>
        <w:numPr>
          <w:ilvl w:val="0"/>
          <w:numId w:val="0"/>
        </w:numPr>
        <w:ind w:leftChars="200" w:firstLine="640" w:firstLineChars="200"/>
        <w:rPr>
          <w:rFonts w:hint="eastAsia" w:ascii="仿宋_GB2312" w:hAnsi="Times New Roman" w:eastAsia="仿宋_GB2312" w:cs="Times New Roman"/>
          <w:b w:val="0"/>
          <w:bCs/>
          <w:color w:val="auto"/>
          <w:sz w:val="32"/>
          <w:szCs w:val="32"/>
          <w:highlight w:val="none"/>
          <w:lang w:val="en-US" w:eastAsia="zh-CN"/>
        </w:rPr>
      </w:pPr>
      <w:r>
        <w:rPr>
          <w:rFonts w:hint="eastAsia" w:ascii="仿宋_GB2312" w:hAnsi="Times New Roman" w:eastAsia="仿宋_GB2312" w:cs="Times New Roman"/>
          <w:b w:val="0"/>
          <w:bCs/>
          <w:color w:val="auto"/>
          <w:sz w:val="32"/>
          <w:szCs w:val="32"/>
          <w:highlight w:val="none"/>
          <w:lang w:val="en-US" w:eastAsia="zh-CN"/>
        </w:rPr>
        <w:t>绩效指标：“组织大督查培训次数≥1次”。</w:t>
      </w:r>
    </w:p>
    <w:p>
      <w:pPr>
        <w:numPr>
          <w:ilvl w:val="0"/>
          <w:numId w:val="0"/>
        </w:numPr>
        <w:ind w:firstLine="640" w:firstLineChars="200"/>
        <w:rPr>
          <w:rFonts w:hint="eastAsia" w:ascii="仿宋_GB2312" w:hAnsi="Times New Roman" w:eastAsia="仿宋_GB2312" w:cs="Times New Roman"/>
          <w:b w:val="0"/>
          <w:bCs/>
          <w:color w:val="auto"/>
          <w:sz w:val="32"/>
          <w:szCs w:val="32"/>
          <w:highlight w:val="none"/>
          <w:lang w:val="en-US" w:eastAsia="zh-CN"/>
        </w:rPr>
      </w:pPr>
      <w:r>
        <w:rPr>
          <w:rFonts w:hint="eastAsia" w:ascii="仿宋_GB2312" w:hAnsi="Times New Roman" w:eastAsia="仿宋_GB2312" w:cs="Times New Roman"/>
          <w:b w:val="0"/>
          <w:bCs/>
          <w:color w:val="auto"/>
          <w:sz w:val="32"/>
          <w:szCs w:val="32"/>
          <w:highlight w:val="none"/>
          <w:lang w:val="en-US" w:eastAsia="zh-CN"/>
        </w:rPr>
        <w:t>4、加强领导班子和干部队伍建设工作。</w:t>
      </w:r>
    </w:p>
    <w:p>
      <w:pPr>
        <w:numPr>
          <w:ilvl w:val="0"/>
          <w:numId w:val="0"/>
        </w:numPr>
        <w:ind w:leftChars="200" w:firstLine="640" w:firstLineChars="200"/>
        <w:rPr>
          <w:rFonts w:hint="eastAsia" w:ascii="仿宋_GB2312" w:hAnsi="Times New Roman" w:eastAsia="仿宋_GB2312" w:cs="Times New Roman"/>
          <w:b w:val="0"/>
          <w:bCs/>
          <w:color w:val="auto"/>
          <w:sz w:val="32"/>
          <w:szCs w:val="32"/>
          <w:highlight w:val="none"/>
          <w:lang w:val="en-US" w:eastAsia="zh-CN"/>
        </w:rPr>
      </w:pPr>
      <w:r>
        <w:rPr>
          <w:rFonts w:hint="eastAsia" w:ascii="仿宋_GB2312" w:hAnsi="Times New Roman" w:eastAsia="仿宋_GB2312" w:cs="Times New Roman"/>
          <w:b w:val="0"/>
          <w:bCs/>
          <w:color w:val="auto"/>
          <w:sz w:val="32"/>
          <w:szCs w:val="32"/>
          <w:highlight w:val="none"/>
          <w:lang w:val="en-US" w:eastAsia="zh-CN"/>
        </w:rPr>
        <w:t>绩效目标：贯彻落实全国党政领导班子建设规划纲要，加强机构改革后领导班子和干部队伍建设，按照廊坊市委组织部部署修订或制定党（工）委管理干部职务名称表。研究制定《机构改革中干部人事档案接转工作方案》，稳妥推进机构改革中划转人员和公务员的干部人事档案接转工作。做好群团组织换届和公立医院改革工作。加强干部队伍宏观管理，做好领导班子、领导干部日常调整、任职交流，以及援藏、援疆干部、干部档案日常管理、干部统计等工作。</w:t>
      </w:r>
    </w:p>
    <w:p>
      <w:pPr>
        <w:numPr>
          <w:ilvl w:val="0"/>
          <w:numId w:val="0"/>
        </w:numPr>
        <w:ind w:leftChars="200" w:firstLine="640" w:firstLineChars="200"/>
        <w:rPr>
          <w:rFonts w:hint="eastAsia" w:ascii="仿宋_GB2312" w:hAnsi="Times New Roman" w:eastAsia="仿宋_GB2312" w:cs="Times New Roman"/>
          <w:b w:val="0"/>
          <w:bCs/>
          <w:color w:val="auto"/>
          <w:sz w:val="32"/>
          <w:szCs w:val="32"/>
          <w:highlight w:val="none"/>
          <w:lang w:eastAsia="zh-CN"/>
        </w:rPr>
      </w:pPr>
      <w:r>
        <w:rPr>
          <w:rFonts w:hint="eastAsia" w:ascii="仿宋_GB2312" w:hAnsi="Times New Roman" w:eastAsia="仿宋_GB2312" w:cs="Times New Roman"/>
          <w:b w:val="0"/>
          <w:bCs/>
          <w:color w:val="auto"/>
          <w:sz w:val="32"/>
          <w:szCs w:val="32"/>
          <w:highlight w:val="none"/>
          <w:lang w:val="en-US" w:eastAsia="zh-CN"/>
        </w:rPr>
        <w:t>绩效指标：“制作档案份数≥350份”</w:t>
      </w:r>
      <w:r>
        <w:rPr>
          <w:rFonts w:hint="eastAsia" w:ascii="仿宋_GB2312" w:hAnsi="Times New Roman" w:eastAsia="仿宋_GB2312" w:cs="Times New Roman"/>
          <w:b w:val="0"/>
          <w:bCs/>
          <w:color w:val="auto"/>
          <w:sz w:val="32"/>
          <w:szCs w:val="32"/>
          <w:highlight w:val="none"/>
          <w:lang w:eastAsia="zh-CN"/>
        </w:rPr>
        <w:t>。</w:t>
      </w:r>
    </w:p>
    <w:p>
      <w:pPr>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（三）工作保障</w:t>
      </w:r>
      <w:r>
        <w:rPr>
          <w:rFonts w:ascii="仿宋_GB2312" w:hAnsi="Times New Roman" w:eastAsia="仿宋_GB2312" w:cs="Times New Roman"/>
          <w:sz w:val="32"/>
          <w:szCs w:val="32"/>
          <w:highlight w:val="none"/>
        </w:rPr>
        <w:t>措施</w:t>
      </w:r>
    </w:p>
    <w:p>
      <w:pPr>
        <w:ind w:firstLine="640" w:firstLineChars="200"/>
        <w:rPr>
          <w:rFonts w:hint="eastAsia" w:ascii="仿宋_GB2312" w:hAnsi="Times New Roman" w:eastAsia="仿宋_GB2312" w:cs="Times New Roman"/>
          <w:b w:val="0"/>
          <w:bCs/>
          <w:color w:val="auto"/>
          <w:sz w:val="32"/>
          <w:szCs w:val="32"/>
          <w:highlight w:val="none"/>
          <w:lang w:val="en-US" w:eastAsia="zh-CN"/>
        </w:rPr>
      </w:pPr>
      <w:r>
        <w:rPr>
          <w:rFonts w:hint="eastAsia" w:ascii="仿宋_GB2312" w:hAnsi="Times New Roman" w:eastAsia="仿宋_GB2312" w:cs="Times New Roman"/>
          <w:b w:val="0"/>
          <w:bCs/>
          <w:color w:val="auto"/>
          <w:sz w:val="32"/>
          <w:szCs w:val="32"/>
          <w:highlight w:val="none"/>
          <w:lang w:val="en-US" w:eastAsia="zh-CN"/>
        </w:rPr>
        <w:t>1、完善制度建设。制定完善预算绩制度、资金管理办法、工作保障制度等，为全年预算绩效目标的实现奠定制度基础。</w:t>
      </w:r>
    </w:p>
    <w:p>
      <w:pPr>
        <w:ind w:firstLine="640" w:firstLineChars="200"/>
        <w:rPr>
          <w:rFonts w:hint="eastAsia" w:ascii="仿宋_GB2312" w:hAnsi="Times New Roman" w:eastAsia="仿宋_GB2312" w:cs="Times New Roman"/>
          <w:b w:val="0"/>
          <w:bCs/>
          <w:color w:val="auto"/>
          <w:sz w:val="32"/>
          <w:szCs w:val="32"/>
          <w:highlight w:val="none"/>
          <w:lang w:val="en-US" w:eastAsia="zh-CN"/>
        </w:rPr>
      </w:pPr>
      <w:r>
        <w:rPr>
          <w:rFonts w:hint="eastAsia" w:ascii="仿宋_GB2312" w:hAnsi="Times New Roman" w:eastAsia="仿宋_GB2312" w:cs="Times New Roman"/>
          <w:b w:val="0"/>
          <w:bCs/>
          <w:color w:val="auto"/>
          <w:sz w:val="32"/>
          <w:szCs w:val="32"/>
          <w:highlight w:val="none"/>
          <w:lang w:val="en-US" w:eastAsia="zh-CN"/>
        </w:rPr>
        <w:t>2、加强支出管理。通过优化支出结构、编细编实预算、及时支付资金、确保支出进度达标。</w:t>
      </w:r>
    </w:p>
    <w:p>
      <w:pPr>
        <w:ind w:firstLine="640" w:firstLineChars="200"/>
        <w:rPr>
          <w:rFonts w:hint="eastAsia" w:ascii="仿宋_GB2312" w:hAnsi="Times New Roman" w:eastAsia="仿宋_GB2312" w:cs="Times New Roman"/>
          <w:b w:val="0"/>
          <w:bCs/>
          <w:color w:val="auto"/>
          <w:sz w:val="32"/>
          <w:szCs w:val="32"/>
          <w:highlight w:val="none"/>
          <w:lang w:val="en-US" w:eastAsia="zh-CN"/>
        </w:rPr>
      </w:pPr>
      <w:r>
        <w:rPr>
          <w:rFonts w:hint="eastAsia" w:ascii="仿宋_GB2312" w:hAnsi="Times New Roman" w:eastAsia="仿宋_GB2312" w:cs="Times New Roman"/>
          <w:b w:val="0"/>
          <w:bCs/>
          <w:color w:val="auto"/>
          <w:sz w:val="32"/>
          <w:szCs w:val="32"/>
          <w:highlight w:val="none"/>
          <w:lang w:val="en-US" w:eastAsia="zh-CN"/>
        </w:rPr>
        <w:t>3、加强绩效运行监控。按要求开展绩效运行监控，发现问题及时采取措施，确保绩效目标如期保质实现。</w:t>
      </w:r>
    </w:p>
    <w:p>
      <w:pPr>
        <w:ind w:firstLine="640" w:firstLineChars="200"/>
        <w:rPr>
          <w:rFonts w:hint="eastAsia" w:ascii="仿宋_GB2312" w:hAnsi="Times New Roman" w:eastAsia="仿宋_GB2312" w:cs="Times New Roman"/>
          <w:b w:val="0"/>
          <w:bCs/>
          <w:color w:val="auto"/>
          <w:sz w:val="32"/>
          <w:szCs w:val="32"/>
          <w:highlight w:val="none"/>
          <w:lang w:val="en-US" w:eastAsia="zh-CN"/>
        </w:rPr>
      </w:pPr>
      <w:r>
        <w:rPr>
          <w:rFonts w:hint="eastAsia" w:ascii="仿宋_GB2312" w:hAnsi="Times New Roman" w:eastAsia="仿宋_GB2312" w:cs="Times New Roman"/>
          <w:b w:val="0"/>
          <w:bCs/>
          <w:color w:val="auto"/>
          <w:sz w:val="32"/>
          <w:szCs w:val="32"/>
          <w:highlight w:val="none"/>
          <w:lang w:val="en-US" w:eastAsia="zh-CN"/>
        </w:rPr>
        <w:t>4、做好绩效自评。按要求开展上年度部门预算绩效自评和重点评价工作，对评价中发现的问题及时整改，调整优化支出结构，提高财政资金使用效益。</w:t>
      </w:r>
    </w:p>
    <w:p>
      <w:pPr>
        <w:ind w:firstLine="640" w:firstLineChars="200"/>
        <w:rPr>
          <w:rFonts w:hint="eastAsia" w:ascii="仿宋_GB2312" w:hAnsi="Times New Roman" w:eastAsia="仿宋_GB2312" w:cs="Times New Roman"/>
          <w:b w:val="0"/>
          <w:bCs/>
          <w:color w:val="auto"/>
          <w:sz w:val="32"/>
          <w:szCs w:val="32"/>
          <w:highlight w:val="none"/>
          <w:lang w:val="en-US" w:eastAsia="zh-CN"/>
        </w:rPr>
      </w:pPr>
      <w:r>
        <w:rPr>
          <w:rFonts w:hint="eastAsia" w:ascii="仿宋_GB2312" w:hAnsi="Times New Roman" w:eastAsia="仿宋_GB2312" w:cs="Times New Roman"/>
          <w:b w:val="0"/>
          <w:bCs/>
          <w:color w:val="auto"/>
          <w:sz w:val="32"/>
          <w:szCs w:val="32"/>
          <w:highlight w:val="none"/>
          <w:lang w:val="en-US" w:eastAsia="zh-CN"/>
        </w:rPr>
        <w:t>5、规范财务资产管理。完善财务管理制度，严格审批程序，加强固定资产登记、使用和报废处置管理，做到支出合理，物尽其用。</w:t>
      </w:r>
    </w:p>
    <w:p>
      <w:pPr>
        <w:ind w:firstLine="640" w:firstLineChars="200"/>
        <w:rPr>
          <w:rFonts w:hint="default" w:ascii="仿宋_GB2312" w:hAnsi="Times New Roman" w:eastAsia="仿宋_GB2312" w:cs="Times New Roman"/>
          <w:b w:val="0"/>
          <w:bCs/>
          <w:color w:val="auto"/>
          <w:sz w:val="32"/>
          <w:szCs w:val="32"/>
          <w:highlight w:val="none"/>
          <w:lang w:val="en-US" w:eastAsia="zh-CN"/>
        </w:rPr>
      </w:pPr>
      <w:r>
        <w:rPr>
          <w:rFonts w:hint="eastAsia" w:ascii="仿宋_GB2312" w:hAnsi="Times New Roman" w:eastAsia="仿宋_GB2312" w:cs="Times New Roman"/>
          <w:b w:val="0"/>
          <w:bCs/>
          <w:color w:val="auto"/>
          <w:sz w:val="32"/>
          <w:szCs w:val="32"/>
          <w:highlight w:val="none"/>
          <w:lang w:val="en-US" w:eastAsia="zh-CN"/>
        </w:rPr>
        <w:t>6、加强内部监督。加强内部监督制度建设，对绩效运行情况、重大支出决策、资产处置及其他重要经济业务实行有效监督管理办法。</w:t>
      </w:r>
    </w:p>
    <w:p>
      <w:pPr>
        <w:autoSpaceDE w:val="0"/>
        <w:autoSpaceDN w:val="0"/>
        <w:adjustRightInd w:val="0"/>
        <w:ind w:firstLine="643" w:firstLineChars="200"/>
        <w:jc w:val="left"/>
        <w:rPr>
          <w:rFonts w:ascii="楷体_GB2312" w:hAnsi="Times New Roman" w:eastAsia="楷体_GB2312" w:cs="Times New Roman"/>
          <w:b/>
          <w:sz w:val="32"/>
          <w:szCs w:val="32"/>
          <w:highlight w:val="none"/>
        </w:rPr>
      </w:pPr>
      <w:r>
        <w:rPr>
          <w:rFonts w:hint="eastAsia" w:ascii="楷体_GB2312" w:hAnsi="Times New Roman" w:eastAsia="楷体_GB2312" w:cs="Times New Roman"/>
          <w:b/>
          <w:sz w:val="32"/>
          <w:szCs w:val="32"/>
          <w:highlight w:val="none"/>
        </w:rPr>
        <w:t>第二部分 预算项目</w:t>
      </w:r>
      <w:r>
        <w:rPr>
          <w:rFonts w:ascii="楷体_GB2312" w:hAnsi="Times New Roman" w:eastAsia="楷体_GB2312" w:cs="Times New Roman"/>
          <w:b/>
          <w:sz w:val="32"/>
          <w:szCs w:val="32"/>
          <w:highlight w:val="none"/>
        </w:rPr>
        <w:t>绩效目标</w:t>
      </w:r>
    </w:p>
    <w:bookmarkEnd w:id="0"/>
    <w:p>
      <w:pPr>
        <w:ind w:firstLine="560" w:firstLineChars="200"/>
        <w:jc w:val="left"/>
        <w:outlineLvl w:val="1"/>
        <w:rPr>
          <w:rFonts w:ascii="Times New Roman" w:hAnsi="宋体" w:eastAsia="宋体" w:cs="Times New Roman"/>
          <w:b/>
          <w:sz w:val="28"/>
          <w:szCs w:val="24"/>
        </w:rPr>
      </w:pPr>
      <w:r>
        <w:rPr>
          <w:rFonts w:hint="eastAsia" w:ascii="方正仿宋_GBK" w:hAnsi="Times New Roman" w:eastAsia="方正仿宋_GBK" w:cs="Times New Roman"/>
          <w:b/>
          <w:sz w:val="28"/>
          <w:szCs w:val="24"/>
        </w:rPr>
        <w:t>1、“不忘初心、牢记使命”主题教育专项经费绩效目标表</w:t>
      </w:r>
      <w:r>
        <w:rPr>
          <w:rFonts w:ascii="Times New Roman" w:hAnsi="Times New Roman" w:eastAsia="宋体"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w:instrText>
      </w:r>
      <w:bookmarkStart w:id="1" w:name="_Toc30520536"/>
      <w:r>
        <w:rPr>
          <w:rFonts w:hint="eastAsia" w:ascii="方正仿宋_GBK" w:hAnsi="Times New Roman" w:eastAsia="方正仿宋_GBK" w:cs="Times New Roman"/>
          <w:b/>
          <w:sz w:val="28"/>
          <w:szCs w:val="24"/>
        </w:rPr>
        <w:instrText xml:space="preserve">1、\“不忘初心、牢记使命\”主题教育专项经费绩效目标表</w:instrText>
      </w:r>
      <w:bookmarkEnd w:id="1"/>
      <w:r>
        <w:rPr>
          <w:rFonts w:hint="eastAsia" w:ascii="方正仿宋_GBK" w:hAnsi="Times New Roman" w:eastAsia="方正仿宋_GBK" w:cs="Times New Roman"/>
          <w:b/>
          <w:sz w:val="28"/>
          <w:szCs w:val="24"/>
        </w:rPr>
        <w:instrText xml:space="preserve">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7"/>
        <w:tblW w:w="1242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49"/>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49" w:type="dxa"/>
            <w:tcBorders>
              <w:bottom w:val="nil"/>
            </w:tcBorders>
            <w:shd w:val="clear" w:color="auto" w:fill="auto"/>
            <w:noWrap w:val="0"/>
            <w:vAlign w:val="center"/>
          </w:tcPr>
          <w:p>
            <w:pPr>
              <w:spacing w:line="300" w:lineRule="exact"/>
              <w:jc w:val="both"/>
              <w:rPr>
                <w:rFonts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spacing w:line="300" w:lineRule="exact"/>
              <w:jc w:val="both"/>
              <w:rPr>
                <w:rFonts w:ascii="方正书宋_GBK" w:hAnsi="Times New Roman" w:eastAsia="方正书宋_GBK" w:cs="Times New Roman"/>
                <w:szCs w:val="24"/>
              </w:rPr>
            </w:pPr>
            <w:r>
              <w:rPr>
                <w:rFonts w:hint="eastAsia" w:ascii="方正书宋_GBK" w:hAnsi="Times New Roman" w:eastAsia="方正书宋_GBK" w:cs="Times New Roman"/>
                <w:szCs w:val="24"/>
              </w:rPr>
              <w:t>1、2020年继续开展活动教育回头看工作，通过购买和辑印学习资料、宣传资料，组织会议，落实“不忘初心、牢记使命”主题教育。</w:t>
            </w:r>
          </w:p>
        </w:tc>
      </w:tr>
    </w:tbl>
    <w:p>
      <w:pPr>
        <w:spacing w:line="14" w:lineRule="exact"/>
        <w:ind w:firstLine="420" w:firstLineChars="200"/>
        <w:jc w:val="both"/>
        <w:rPr>
          <w:rFonts w:ascii="Times New Roman" w:hAnsi="宋体" w:eastAsia="宋体" w:cs="Times New Roman"/>
          <w:szCs w:val="24"/>
        </w:rPr>
      </w:pPr>
      <w:r>
        <w:rPr>
          <w:rFonts w:ascii="方正书宋_GBK" w:hAnsi="Times New Roman" w:eastAsia="方正书宋_GBK" w:cs="Times New Roman"/>
          <w:szCs w:val="24"/>
        </w:rPr>
        <w:t xml:space="preserve"> </w:t>
      </w:r>
    </w:p>
    <w:tbl>
      <w:tblPr>
        <w:tblStyle w:val="7"/>
        <w:tblW w:w="1243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53"/>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153" w:type="dxa"/>
            <w:shd w:val="clear" w:color="auto" w:fill="auto"/>
            <w:noWrap w:val="0"/>
            <w:vAlign w:val="center"/>
          </w:tcPr>
          <w:p>
            <w:pPr>
              <w:spacing w:line="300" w:lineRule="exact"/>
              <w:jc w:val="both"/>
              <w:rPr>
                <w:rFonts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spacing w:line="300" w:lineRule="exact"/>
              <w:jc w:val="both"/>
              <w:rPr>
                <w:rFonts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spacing w:line="300" w:lineRule="exact"/>
              <w:jc w:val="both"/>
              <w:rPr>
                <w:rFonts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spacing w:line="300" w:lineRule="exact"/>
              <w:jc w:val="both"/>
              <w:rPr>
                <w:rFonts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spacing w:line="300" w:lineRule="exact"/>
              <w:jc w:val="both"/>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spacing w:line="300" w:lineRule="exact"/>
              <w:jc w:val="both"/>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3" w:type="dxa"/>
            <w:vMerge w:val="restart"/>
            <w:shd w:val="clear" w:color="auto" w:fill="auto"/>
            <w:noWrap w:val="0"/>
            <w:vAlign w:val="center"/>
          </w:tcPr>
          <w:p>
            <w:pPr>
              <w:spacing w:line="300" w:lineRule="exact"/>
              <w:jc w:val="both"/>
              <w:rPr>
                <w:rFonts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spacing w:line="300" w:lineRule="exact"/>
              <w:jc w:val="both"/>
              <w:rPr>
                <w:rFonts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spacing w:line="300" w:lineRule="exact"/>
              <w:jc w:val="both"/>
              <w:rPr>
                <w:rFonts w:ascii="方正书宋_GBK" w:hAnsi="Times New Roman" w:eastAsia="方正书宋_GBK" w:cs="Times New Roman"/>
                <w:szCs w:val="24"/>
              </w:rPr>
            </w:pPr>
            <w:r>
              <w:rPr>
                <w:rFonts w:hint="eastAsia" w:ascii="方正书宋_GBK" w:hAnsi="Times New Roman" w:eastAsia="方正书宋_GBK" w:cs="Times New Roman"/>
                <w:szCs w:val="24"/>
              </w:rPr>
              <w:t>宣传活动次数</w:t>
            </w:r>
          </w:p>
        </w:tc>
        <w:tc>
          <w:tcPr>
            <w:tcW w:w="2891" w:type="dxa"/>
            <w:shd w:val="clear" w:color="auto" w:fill="auto"/>
            <w:noWrap w:val="0"/>
            <w:vAlign w:val="center"/>
          </w:tcPr>
          <w:p>
            <w:pPr>
              <w:spacing w:line="300" w:lineRule="exact"/>
              <w:jc w:val="both"/>
              <w:rPr>
                <w:rFonts w:ascii="方正书宋_GBK" w:hAnsi="Times New Roman" w:eastAsia="方正书宋_GBK" w:cs="Times New Roman"/>
                <w:szCs w:val="24"/>
              </w:rPr>
            </w:pPr>
            <w:r>
              <w:rPr>
                <w:rFonts w:hint="eastAsia" w:ascii="方正书宋_GBK" w:hAnsi="Times New Roman" w:eastAsia="方正书宋_GBK" w:cs="Times New Roman"/>
                <w:szCs w:val="24"/>
              </w:rPr>
              <w:t>组织宣传活动次数</w:t>
            </w:r>
          </w:p>
        </w:tc>
        <w:tc>
          <w:tcPr>
            <w:tcW w:w="1276" w:type="dxa"/>
            <w:shd w:val="clear" w:color="auto" w:fill="auto"/>
            <w:noWrap w:val="0"/>
            <w:vAlign w:val="center"/>
          </w:tcPr>
          <w:p>
            <w:pPr>
              <w:spacing w:line="300" w:lineRule="exact"/>
              <w:jc w:val="both"/>
              <w:rPr>
                <w:rFonts w:ascii="方正书宋_GBK" w:hAnsi="Times New Roman" w:eastAsia="方正书宋_GBK" w:cs="Times New Roman"/>
                <w:szCs w:val="24"/>
              </w:rPr>
            </w:pPr>
            <w:r>
              <w:rPr>
                <w:rFonts w:hint="eastAsia" w:ascii="方正书宋_GBK" w:hAnsi="Times New Roman" w:eastAsia="方正书宋_GBK" w:cs="Times New Roman"/>
                <w:szCs w:val="24"/>
              </w:rPr>
              <w:t>≥3次</w:t>
            </w:r>
          </w:p>
        </w:tc>
        <w:tc>
          <w:tcPr>
            <w:tcW w:w="1701" w:type="dxa"/>
            <w:shd w:val="clear" w:color="auto" w:fill="auto"/>
            <w:noWrap w:val="0"/>
            <w:vAlign w:val="center"/>
          </w:tcPr>
          <w:p>
            <w:pPr>
              <w:spacing w:line="300" w:lineRule="exact"/>
              <w:jc w:val="both"/>
              <w:rPr>
                <w:rFonts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3" w:type="dxa"/>
            <w:vMerge w:val="continue"/>
            <w:shd w:val="clear" w:color="auto" w:fill="auto"/>
            <w:noWrap w:val="0"/>
            <w:vAlign w:val="center"/>
          </w:tcPr>
          <w:p>
            <w:pPr>
              <w:spacing w:line="300" w:lineRule="exact"/>
              <w:jc w:val="both"/>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both"/>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spacing w:line="300" w:lineRule="exact"/>
              <w:jc w:val="both"/>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成本控制情况</w:t>
            </w:r>
          </w:p>
        </w:tc>
        <w:tc>
          <w:tcPr>
            <w:tcW w:w="2891" w:type="dxa"/>
            <w:shd w:val="clear" w:color="auto" w:fill="auto"/>
            <w:noWrap w:val="0"/>
            <w:vAlign w:val="center"/>
          </w:tcPr>
          <w:p>
            <w:pPr>
              <w:spacing w:line="300" w:lineRule="exact"/>
              <w:jc w:val="both"/>
              <w:rPr>
                <w:rFonts w:ascii="方正书宋_GBK" w:hAnsi="Times New Roman" w:eastAsia="方正书宋_GBK" w:cs="Times New Roman"/>
                <w:szCs w:val="24"/>
              </w:rPr>
            </w:pPr>
            <w:r>
              <w:rPr>
                <w:rFonts w:hint="eastAsia" w:ascii="方正书宋_GBK" w:hAnsi="Times New Roman" w:eastAsia="方正书宋_GBK" w:cs="Times New Roman"/>
                <w:szCs w:val="24"/>
              </w:rPr>
              <w:t>成本控制情况</w:t>
            </w:r>
          </w:p>
        </w:tc>
        <w:tc>
          <w:tcPr>
            <w:tcW w:w="1276" w:type="dxa"/>
            <w:shd w:val="clear" w:color="auto" w:fill="auto"/>
            <w:noWrap w:val="0"/>
            <w:vAlign w:val="center"/>
          </w:tcPr>
          <w:p>
            <w:pPr>
              <w:spacing w:line="300" w:lineRule="exact"/>
              <w:jc w:val="both"/>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≤20万元</w:t>
            </w:r>
          </w:p>
        </w:tc>
        <w:tc>
          <w:tcPr>
            <w:tcW w:w="1701" w:type="dxa"/>
            <w:shd w:val="clear" w:color="auto" w:fill="auto"/>
            <w:noWrap w:val="0"/>
            <w:vAlign w:val="center"/>
          </w:tcPr>
          <w:p>
            <w:pPr>
              <w:spacing w:line="300" w:lineRule="exact"/>
              <w:jc w:val="both"/>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3" w:type="dxa"/>
            <w:vMerge w:val="continue"/>
            <w:shd w:val="clear" w:color="auto" w:fill="auto"/>
            <w:noWrap w:val="0"/>
            <w:vAlign w:val="center"/>
          </w:tcPr>
          <w:p>
            <w:pPr>
              <w:spacing w:line="300" w:lineRule="exact"/>
              <w:jc w:val="both"/>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both"/>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spacing w:line="300" w:lineRule="exact"/>
              <w:jc w:val="both"/>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验收合格率</w:t>
            </w:r>
          </w:p>
        </w:tc>
        <w:tc>
          <w:tcPr>
            <w:tcW w:w="2891" w:type="dxa"/>
            <w:shd w:val="clear" w:color="auto" w:fill="auto"/>
            <w:noWrap w:val="0"/>
            <w:vAlign w:val="center"/>
          </w:tcPr>
          <w:p>
            <w:pPr>
              <w:spacing w:line="300" w:lineRule="exact"/>
              <w:jc w:val="both"/>
              <w:rPr>
                <w:rFonts w:ascii="方正书宋_GBK" w:hAnsi="Times New Roman" w:eastAsia="方正书宋_GBK" w:cs="Times New Roman"/>
                <w:szCs w:val="24"/>
              </w:rPr>
            </w:pPr>
            <w:r>
              <w:rPr>
                <w:rFonts w:hint="eastAsia" w:ascii="方正书宋_GBK" w:hAnsi="Times New Roman" w:eastAsia="方正书宋_GBK" w:cs="Times New Roman"/>
                <w:szCs w:val="24"/>
              </w:rPr>
              <w:t>印刷活动手册验收合格率</w:t>
            </w:r>
          </w:p>
        </w:tc>
        <w:tc>
          <w:tcPr>
            <w:tcW w:w="1276" w:type="dxa"/>
            <w:shd w:val="clear" w:color="auto" w:fill="auto"/>
            <w:noWrap w:val="0"/>
            <w:vAlign w:val="center"/>
          </w:tcPr>
          <w:p>
            <w:pPr>
              <w:spacing w:line="300" w:lineRule="exact"/>
              <w:jc w:val="both"/>
              <w:rPr>
                <w:rFonts w:hint="eastAsia" w:ascii="方正书宋_GBK" w:hAnsi="Times New Roman" w:eastAsia="方正书宋_GBK" w:cs="Times New Roman"/>
                <w:szCs w:val="24"/>
              </w:rPr>
            </w:pPr>
            <w:r>
              <w:rPr>
                <w:rFonts w:ascii="方正书宋_GBK" w:hAnsi="Times New Roman" w:eastAsia="方正书宋_GBK" w:cs="Times New Roman"/>
                <w:szCs w:val="24"/>
              </w:rPr>
              <w:t>100%</w:t>
            </w:r>
          </w:p>
        </w:tc>
        <w:tc>
          <w:tcPr>
            <w:tcW w:w="1701" w:type="dxa"/>
            <w:shd w:val="clear" w:color="auto" w:fill="auto"/>
            <w:noWrap w:val="0"/>
            <w:vAlign w:val="center"/>
          </w:tcPr>
          <w:p>
            <w:pPr>
              <w:spacing w:line="300" w:lineRule="exact"/>
              <w:jc w:val="both"/>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3" w:type="dxa"/>
            <w:vMerge w:val="continue"/>
            <w:shd w:val="clear" w:color="auto" w:fill="auto"/>
            <w:noWrap w:val="0"/>
            <w:vAlign w:val="center"/>
          </w:tcPr>
          <w:p>
            <w:pPr>
              <w:spacing w:line="300" w:lineRule="exact"/>
              <w:jc w:val="both"/>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both"/>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spacing w:line="300" w:lineRule="exact"/>
              <w:jc w:val="both"/>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工作完成及时率</w:t>
            </w:r>
          </w:p>
        </w:tc>
        <w:tc>
          <w:tcPr>
            <w:tcW w:w="2891" w:type="dxa"/>
            <w:shd w:val="clear" w:color="auto" w:fill="auto"/>
            <w:noWrap w:val="0"/>
            <w:vAlign w:val="center"/>
          </w:tcPr>
          <w:p>
            <w:pPr>
              <w:spacing w:line="300" w:lineRule="exact"/>
              <w:jc w:val="both"/>
              <w:rPr>
                <w:rFonts w:ascii="方正书宋_GBK" w:hAnsi="Times New Roman" w:eastAsia="方正书宋_GBK" w:cs="Times New Roman"/>
                <w:szCs w:val="24"/>
              </w:rPr>
            </w:pPr>
            <w:r>
              <w:rPr>
                <w:rFonts w:hint="eastAsia" w:ascii="方正书宋_GBK" w:hAnsi="Times New Roman" w:eastAsia="方正书宋_GBK" w:cs="Times New Roman"/>
                <w:szCs w:val="24"/>
              </w:rPr>
              <w:t>组织开展教育活动会议，宣传活动及时情况</w:t>
            </w:r>
          </w:p>
        </w:tc>
        <w:tc>
          <w:tcPr>
            <w:tcW w:w="1276" w:type="dxa"/>
            <w:shd w:val="clear" w:color="auto" w:fill="auto"/>
            <w:noWrap w:val="0"/>
            <w:vAlign w:val="center"/>
          </w:tcPr>
          <w:p>
            <w:pPr>
              <w:spacing w:line="300" w:lineRule="exact"/>
              <w:jc w:val="both"/>
              <w:rPr>
                <w:rFonts w:ascii="方正书宋_GBK" w:hAnsi="Times New Roman" w:eastAsia="方正书宋_GBK" w:cs="Times New Roman"/>
                <w:szCs w:val="24"/>
              </w:rPr>
            </w:pPr>
            <w:r>
              <w:rPr>
                <w:rFonts w:ascii="方正书宋_GBK" w:hAnsi="Times New Roman" w:eastAsia="方正书宋_GBK" w:cs="Times New Roman"/>
                <w:szCs w:val="24"/>
              </w:rPr>
              <w:t>100%</w:t>
            </w:r>
          </w:p>
        </w:tc>
        <w:tc>
          <w:tcPr>
            <w:tcW w:w="1701" w:type="dxa"/>
            <w:shd w:val="clear" w:color="auto" w:fill="auto"/>
            <w:noWrap w:val="0"/>
            <w:vAlign w:val="center"/>
          </w:tcPr>
          <w:p>
            <w:pPr>
              <w:spacing w:line="300" w:lineRule="exact"/>
              <w:jc w:val="both"/>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3" w:type="dxa"/>
            <w:vMerge w:val="continue"/>
            <w:shd w:val="clear" w:color="auto" w:fill="auto"/>
            <w:noWrap w:val="0"/>
            <w:vAlign w:val="center"/>
          </w:tcPr>
          <w:p>
            <w:pPr>
              <w:spacing w:line="300" w:lineRule="exact"/>
              <w:jc w:val="both"/>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both"/>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spacing w:line="300" w:lineRule="exact"/>
              <w:jc w:val="both"/>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印刷学习手册数量</w:t>
            </w:r>
          </w:p>
        </w:tc>
        <w:tc>
          <w:tcPr>
            <w:tcW w:w="2891" w:type="dxa"/>
            <w:shd w:val="clear" w:color="auto" w:fill="auto"/>
            <w:noWrap w:val="0"/>
            <w:vAlign w:val="center"/>
          </w:tcPr>
          <w:p>
            <w:pPr>
              <w:spacing w:line="300" w:lineRule="exact"/>
              <w:jc w:val="both"/>
              <w:rPr>
                <w:rFonts w:ascii="方正书宋_GBK" w:hAnsi="Times New Roman" w:eastAsia="方正书宋_GBK" w:cs="Times New Roman"/>
                <w:szCs w:val="24"/>
              </w:rPr>
            </w:pPr>
            <w:r>
              <w:rPr>
                <w:rFonts w:hint="eastAsia" w:ascii="方正书宋_GBK" w:hAnsi="Times New Roman" w:eastAsia="方正书宋_GBK" w:cs="Times New Roman"/>
                <w:szCs w:val="24"/>
              </w:rPr>
              <w:t>印刷学习手册数量</w:t>
            </w:r>
          </w:p>
        </w:tc>
        <w:tc>
          <w:tcPr>
            <w:tcW w:w="1276" w:type="dxa"/>
            <w:shd w:val="clear" w:color="auto" w:fill="auto"/>
            <w:noWrap w:val="0"/>
            <w:vAlign w:val="center"/>
          </w:tcPr>
          <w:p>
            <w:pPr>
              <w:spacing w:line="300" w:lineRule="exact"/>
              <w:jc w:val="both"/>
              <w:rPr>
                <w:rFonts w:ascii="方正书宋_GBK" w:hAnsi="Times New Roman" w:eastAsia="方正书宋_GBK" w:cs="Times New Roman"/>
                <w:szCs w:val="24"/>
              </w:rPr>
            </w:pPr>
            <w:r>
              <w:rPr>
                <w:rFonts w:hint="eastAsia" w:ascii="方正书宋_GBK" w:hAnsi="Times New Roman" w:eastAsia="方正书宋_GBK" w:cs="Times New Roman"/>
                <w:szCs w:val="24"/>
              </w:rPr>
              <w:t>≥20000份</w:t>
            </w:r>
          </w:p>
        </w:tc>
        <w:tc>
          <w:tcPr>
            <w:tcW w:w="1701" w:type="dxa"/>
            <w:shd w:val="clear" w:color="auto" w:fill="auto"/>
            <w:noWrap w:val="0"/>
            <w:vAlign w:val="center"/>
          </w:tcPr>
          <w:p>
            <w:pPr>
              <w:spacing w:line="300" w:lineRule="exact"/>
              <w:jc w:val="both"/>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3" w:type="dxa"/>
            <w:shd w:val="clear" w:color="auto" w:fill="auto"/>
            <w:noWrap w:val="0"/>
            <w:vAlign w:val="center"/>
          </w:tcPr>
          <w:p>
            <w:pPr>
              <w:spacing w:line="300" w:lineRule="exact"/>
              <w:jc w:val="both"/>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效果指标</w:t>
            </w:r>
          </w:p>
        </w:tc>
        <w:tc>
          <w:tcPr>
            <w:tcW w:w="1134" w:type="dxa"/>
            <w:shd w:val="clear" w:color="auto" w:fill="auto"/>
            <w:noWrap w:val="0"/>
            <w:vAlign w:val="center"/>
          </w:tcPr>
          <w:p>
            <w:pPr>
              <w:spacing w:line="300" w:lineRule="exact"/>
              <w:jc w:val="both"/>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spacing w:line="300" w:lineRule="exact"/>
              <w:jc w:val="both"/>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提高党员政治思想水平</w:t>
            </w:r>
          </w:p>
        </w:tc>
        <w:tc>
          <w:tcPr>
            <w:tcW w:w="2891" w:type="dxa"/>
            <w:shd w:val="clear" w:color="auto" w:fill="auto"/>
            <w:noWrap w:val="0"/>
            <w:vAlign w:val="center"/>
          </w:tcPr>
          <w:p>
            <w:pPr>
              <w:spacing w:line="300" w:lineRule="exact"/>
              <w:jc w:val="both"/>
              <w:rPr>
                <w:rFonts w:ascii="方正书宋_GBK" w:hAnsi="Times New Roman" w:eastAsia="方正书宋_GBK" w:cs="Times New Roman"/>
                <w:szCs w:val="24"/>
              </w:rPr>
            </w:pPr>
            <w:r>
              <w:rPr>
                <w:rFonts w:hint="eastAsia" w:ascii="方正书宋_GBK" w:hAnsi="Times New Roman" w:eastAsia="方正书宋_GBK" w:cs="Times New Roman"/>
                <w:szCs w:val="24"/>
              </w:rPr>
              <w:t>通过教育活动对提高党员政治思想水平作用</w:t>
            </w:r>
          </w:p>
        </w:tc>
        <w:tc>
          <w:tcPr>
            <w:tcW w:w="1276" w:type="dxa"/>
            <w:shd w:val="clear" w:color="auto" w:fill="auto"/>
            <w:noWrap w:val="0"/>
            <w:vAlign w:val="center"/>
          </w:tcPr>
          <w:p>
            <w:pPr>
              <w:spacing w:line="300" w:lineRule="exact"/>
              <w:jc w:val="both"/>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提高</w:t>
            </w:r>
          </w:p>
        </w:tc>
        <w:tc>
          <w:tcPr>
            <w:tcW w:w="1701" w:type="dxa"/>
            <w:shd w:val="clear" w:color="auto" w:fill="auto"/>
            <w:noWrap w:val="0"/>
            <w:vAlign w:val="center"/>
          </w:tcPr>
          <w:p>
            <w:pPr>
              <w:spacing w:line="300" w:lineRule="exact"/>
              <w:jc w:val="both"/>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3" w:type="dxa"/>
            <w:shd w:val="clear" w:color="auto" w:fill="auto"/>
            <w:noWrap w:val="0"/>
            <w:vAlign w:val="center"/>
          </w:tcPr>
          <w:p>
            <w:pPr>
              <w:spacing w:line="300" w:lineRule="exact"/>
              <w:jc w:val="both"/>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spacing w:line="300" w:lineRule="exact"/>
              <w:jc w:val="both"/>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spacing w:line="300" w:lineRule="exact"/>
              <w:jc w:val="both"/>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党员满意度</w:t>
            </w:r>
          </w:p>
        </w:tc>
        <w:tc>
          <w:tcPr>
            <w:tcW w:w="2891" w:type="dxa"/>
            <w:shd w:val="clear" w:color="auto" w:fill="auto"/>
            <w:noWrap w:val="0"/>
            <w:vAlign w:val="center"/>
          </w:tcPr>
          <w:p>
            <w:pPr>
              <w:spacing w:line="300" w:lineRule="exact"/>
              <w:jc w:val="both"/>
              <w:rPr>
                <w:rFonts w:ascii="方正书宋_GBK" w:hAnsi="Times New Roman" w:eastAsia="方正书宋_GBK" w:cs="Times New Roman"/>
                <w:szCs w:val="24"/>
              </w:rPr>
            </w:pPr>
            <w:r>
              <w:rPr>
                <w:rFonts w:hint="eastAsia" w:ascii="方正书宋_GBK" w:hAnsi="Times New Roman" w:eastAsia="方正书宋_GBK" w:cs="Times New Roman"/>
                <w:szCs w:val="24"/>
              </w:rPr>
              <w:t>党员对教育活动开展情况的满意度</w:t>
            </w:r>
          </w:p>
        </w:tc>
        <w:tc>
          <w:tcPr>
            <w:tcW w:w="1276" w:type="dxa"/>
            <w:shd w:val="clear" w:color="auto" w:fill="auto"/>
            <w:noWrap w:val="0"/>
            <w:vAlign w:val="center"/>
          </w:tcPr>
          <w:p>
            <w:pPr>
              <w:spacing w:line="300" w:lineRule="exact"/>
              <w:jc w:val="both"/>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≥90%</w:t>
            </w:r>
          </w:p>
        </w:tc>
        <w:tc>
          <w:tcPr>
            <w:tcW w:w="1701" w:type="dxa"/>
            <w:shd w:val="clear" w:color="auto" w:fill="auto"/>
            <w:noWrap w:val="0"/>
            <w:vAlign w:val="center"/>
          </w:tcPr>
          <w:p>
            <w:pPr>
              <w:spacing w:line="300" w:lineRule="exact"/>
              <w:jc w:val="both"/>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rPr>
          <w:rFonts w:ascii="Times New Roman" w:hAnsi="Times New Roman" w:eastAsia="宋体" w:cs="Times New Roman"/>
          <w:szCs w:val="24"/>
        </w:rPr>
      </w:pPr>
    </w:p>
    <w:p>
      <w:pPr>
        <w:ind w:firstLine="560" w:firstLineChars="200"/>
        <w:jc w:val="left"/>
        <w:outlineLvl w:val="1"/>
        <w:rPr>
          <w:rFonts w:ascii="Times New Roman" w:hAnsi="宋体" w:eastAsia="宋体" w:cs="Times New Roman"/>
          <w:b/>
          <w:sz w:val="28"/>
          <w:szCs w:val="24"/>
        </w:rPr>
      </w:pPr>
      <w:r>
        <w:rPr>
          <w:rFonts w:hint="eastAsia" w:ascii="方正仿宋_GBK" w:hAnsi="Times New Roman" w:eastAsia="方正仿宋_GBK" w:cs="Times New Roman"/>
          <w:b/>
          <w:sz w:val="28"/>
          <w:szCs w:val="24"/>
        </w:rPr>
        <w:t>2、表彰五星级、四星级农村基层党组织经费绩效目标表</w:t>
      </w:r>
      <w:r>
        <w:rPr>
          <w:rFonts w:ascii="Times New Roman" w:hAnsi="Times New Roman" w:eastAsia="宋体"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w:instrText>
      </w:r>
      <w:bookmarkStart w:id="2" w:name="_Toc30520537"/>
      <w:r>
        <w:rPr>
          <w:rFonts w:hint="eastAsia" w:ascii="方正仿宋_GBK" w:hAnsi="Times New Roman" w:eastAsia="方正仿宋_GBK" w:cs="Times New Roman"/>
          <w:b/>
          <w:sz w:val="28"/>
          <w:szCs w:val="24"/>
        </w:rPr>
        <w:instrText xml:space="preserve">2、表彰五星级、四星级农村基层党组织经费绩效目标表</w:instrText>
      </w:r>
      <w:bookmarkEnd w:id="2"/>
      <w:r>
        <w:rPr>
          <w:rFonts w:hint="eastAsia" w:ascii="方正仿宋_GBK" w:hAnsi="Times New Roman" w:eastAsia="方正仿宋_GBK" w:cs="Times New Roman"/>
          <w:b/>
          <w:sz w:val="28"/>
          <w:szCs w:val="24"/>
        </w:rPr>
        <w:instrText xml:space="preserve">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7"/>
        <w:tblW w:w="124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19"/>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9" w:type="dxa"/>
            <w:tcBorders>
              <w:bottom w:val="nil"/>
            </w:tcBorders>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1、通过奖励五星级、四星级农村基层党组织，推动农村基层党组织创星争先活动的深入开展，健全基层党组织建设，不断加强和改进农村服务型基层党组织建设。</w:t>
            </w:r>
          </w:p>
        </w:tc>
      </w:tr>
    </w:tbl>
    <w:p>
      <w:pPr>
        <w:spacing w:line="14" w:lineRule="exact"/>
        <w:ind w:firstLine="420" w:firstLineChars="200"/>
        <w:jc w:val="center"/>
        <w:rPr>
          <w:rFonts w:ascii="Times New Roman" w:hAnsi="宋体" w:eastAsia="宋体" w:cs="Times New Roman"/>
          <w:szCs w:val="24"/>
        </w:rPr>
      </w:pPr>
      <w:r>
        <w:rPr>
          <w:rFonts w:ascii="方正书宋_GBK" w:hAnsi="Times New Roman" w:eastAsia="方正书宋_GBK" w:cs="Times New Roman"/>
          <w:szCs w:val="24"/>
        </w:rPr>
        <w:t xml:space="preserve"> </w:t>
      </w:r>
    </w:p>
    <w:tbl>
      <w:tblPr>
        <w:tblStyle w:val="7"/>
        <w:tblW w:w="124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90"/>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190"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90" w:type="dxa"/>
            <w:vMerge w:val="restart"/>
            <w:shd w:val="clear" w:color="auto" w:fill="auto"/>
            <w:noWrap w:val="0"/>
            <w:vAlign w:val="center"/>
          </w:tcPr>
          <w:p>
            <w:pPr>
              <w:spacing w:line="300" w:lineRule="exact"/>
              <w:jc w:val="center"/>
              <w:rPr>
                <w:rFonts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奖励四星级农村党组个数</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表彰奖励四星级农村党组个数</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30个</w:t>
            </w:r>
          </w:p>
        </w:tc>
        <w:tc>
          <w:tcPr>
            <w:tcW w:w="170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90"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奖励五星级农村党组织个数</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奖励五星级农村党组织个数</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20个</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90"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奖励资金发放及时率</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奖励到五星级、四星级党组织及时情况</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ascii="方正书宋_GBK" w:hAnsi="Times New Roman" w:eastAsia="方正书宋_GBK" w:cs="Times New Roman"/>
                <w:szCs w:val="24"/>
              </w:rPr>
              <w:t>100%</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90"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效果指标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提高基层党组织凝聚力</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通过奖励提高基层党组织凝聚力和工作人员工作热情</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提高</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90"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基层党组织工作人员满意度</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基层党组织工作人员对奖励情况的满意度</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≤100%</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rPr>
          <w:rFonts w:ascii="Times New Roman" w:hAnsi="Times New Roman" w:eastAsia="宋体" w:cs="Times New Roman"/>
          <w:szCs w:val="24"/>
        </w:rPr>
      </w:pPr>
    </w:p>
    <w:p>
      <w:pPr>
        <w:ind w:firstLine="560" w:firstLineChars="200"/>
        <w:jc w:val="left"/>
        <w:outlineLvl w:val="1"/>
        <w:rPr>
          <w:rFonts w:ascii="Times New Roman" w:hAnsi="宋体" w:eastAsia="宋体" w:cs="Times New Roman"/>
          <w:b/>
          <w:sz w:val="28"/>
          <w:szCs w:val="24"/>
        </w:rPr>
      </w:pPr>
      <w:r>
        <w:rPr>
          <w:rFonts w:hint="eastAsia" w:ascii="方正仿宋_GBK" w:hAnsi="Times New Roman" w:eastAsia="方正仿宋_GBK" w:cs="Times New Roman"/>
          <w:b/>
          <w:sz w:val="28"/>
          <w:szCs w:val="24"/>
        </w:rPr>
        <w:t>3、村党组织活动经费（冀财预[2019]67号)绩效目标表</w:t>
      </w:r>
      <w:r>
        <w:rPr>
          <w:rFonts w:ascii="Times New Roman" w:hAnsi="Times New Roman" w:eastAsia="宋体"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w:instrText>
      </w:r>
      <w:bookmarkStart w:id="3" w:name="_Toc30520538"/>
      <w:r>
        <w:rPr>
          <w:rFonts w:hint="eastAsia" w:ascii="方正仿宋_GBK" w:hAnsi="Times New Roman" w:eastAsia="方正仿宋_GBK" w:cs="Times New Roman"/>
          <w:b/>
          <w:sz w:val="28"/>
          <w:szCs w:val="24"/>
        </w:rPr>
        <w:instrText xml:space="preserve">3、村党组织活动经费（冀财预[2019]67号)绩效目标表</w:instrText>
      </w:r>
      <w:bookmarkEnd w:id="3"/>
      <w:r>
        <w:rPr>
          <w:rFonts w:hint="eastAsia" w:ascii="方正仿宋_GBK" w:hAnsi="Times New Roman" w:eastAsia="方正仿宋_GBK" w:cs="Times New Roman"/>
          <w:b/>
          <w:sz w:val="28"/>
          <w:szCs w:val="24"/>
        </w:rPr>
        <w:instrText xml:space="preserve">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7"/>
        <w:tblW w:w="1240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23"/>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23" w:type="dxa"/>
            <w:tcBorders>
              <w:bottom w:val="nil"/>
            </w:tcBorders>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1、通过拨付村级党组织活动经费，加强对党员培训的支持力度，使老党员、新党员体会到党的关怀，并促进他们发挥党员的积极作用。</w:t>
            </w:r>
          </w:p>
        </w:tc>
      </w:tr>
    </w:tbl>
    <w:p>
      <w:pPr>
        <w:spacing w:line="14" w:lineRule="exact"/>
        <w:ind w:firstLine="420" w:firstLineChars="200"/>
        <w:jc w:val="center"/>
        <w:rPr>
          <w:rFonts w:ascii="Times New Roman" w:hAnsi="宋体" w:eastAsia="宋体" w:cs="Times New Roman"/>
          <w:szCs w:val="24"/>
        </w:rPr>
      </w:pPr>
      <w:r>
        <w:rPr>
          <w:rFonts w:ascii="方正书宋_GBK" w:hAnsi="Times New Roman" w:eastAsia="方正书宋_GBK" w:cs="Times New Roman"/>
          <w:szCs w:val="24"/>
        </w:rPr>
        <w:t xml:space="preserve"> </w:t>
      </w:r>
    </w:p>
    <w:tbl>
      <w:tblPr>
        <w:tblStyle w:val="7"/>
        <w:tblW w:w="1241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02"/>
        <w:gridCol w:w="1134"/>
        <w:gridCol w:w="1276"/>
        <w:gridCol w:w="2891"/>
        <w:gridCol w:w="1276"/>
        <w:gridCol w:w="16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202"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63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02" w:type="dxa"/>
            <w:vMerge w:val="restart"/>
            <w:shd w:val="clear" w:color="auto" w:fill="auto"/>
            <w:noWrap w:val="0"/>
            <w:vAlign w:val="center"/>
          </w:tcPr>
          <w:p>
            <w:pPr>
              <w:spacing w:line="300" w:lineRule="exact"/>
              <w:jc w:val="center"/>
              <w:rPr>
                <w:rFonts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补贴村街个数</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村组织活动经费补贴到村街的个数</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≥5个</w:t>
            </w:r>
          </w:p>
        </w:tc>
        <w:tc>
          <w:tcPr>
            <w:tcW w:w="163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02"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补贴及时率</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经费补贴到村街的及时情况</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≥90%</w:t>
            </w:r>
          </w:p>
        </w:tc>
        <w:tc>
          <w:tcPr>
            <w:tcW w:w="163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02"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效果指标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提高村街党组织服务群众的能力</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提高村街党组织服务群众的能力</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提高</w:t>
            </w:r>
          </w:p>
        </w:tc>
        <w:tc>
          <w:tcPr>
            <w:tcW w:w="163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02"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村街党组织满意度</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村街党组织满意度</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≥80%</w:t>
            </w:r>
          </w:p>
        </w:tc>
        <w:tc>
          <w:tcPr>
            <w:tcW w:w="163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rPr>
          <w:rFonts w:ascii="Times New Roman" w:hAnsi="Times New Roman" w:eastAsia="宋体" w:cs="Times New Roman"/>
          <w:szCs w:val="24"/>
        </w:rPr>
      </w:pPr>
    </w:p>
    <w:p>
      <w:pPr>
        <w:ind w:firstLine="560" w:firstLineChars="200"/>
        <w:jc w:val="left"/>
        <w:outlineLvl w:val="1"/>
        <w:rPr>
          <w:rFonts w:ascii="Times New Roman" w:hAnsi="宋体" w:eastAsia="宋体" w:cs="Times New Roman"/>
          <w:b/>
          <w:sz w:val="28"/>
          <w:szCs w:val="24"/>
        </w:rPr>
      </w:pPr>
      <w:r>
        <w:rPr>
          <w:rFonts w:hint="eastAsia" w:ascii="方正仿宋_GBK" w:hAnsi="Times New Roman" w:eastAsia="方正仿宋_GBK" w:cs="Times New Roman"/>
          <w:b/>
          <w:sz w:val="28"/>
          <w:szCs w:val="24"/>
        </w:rPr>
        <w:t>4、大督查专项经费绩效目标表</w:t>
      </w:r>
      <w:r>
        <w:rPr>
          <w:rFonts w:ascii="Times New Roman" w:hAnsi="Times New Roman" w:eastAsia="宋体"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w:instrText>
      </w:r>
      <w:bookmarkStart w:id="4" w:name="_Toc30520539"/>
      <w:r>
        <w:rPr>
          <w:rFonts w:hint="eastAsia" w:ascii="方正仿宋_GBK" w:hAnsi="Times New Roman" w:eastAsia="方正仿宋_GBK" w:cs="Times New Roman"/>
          <w:b/>
          <w:sz w:val="28"/>
          <w:szCs w:val="24"/>
        </w:rPr>
        <w:instrText xml:space="preserve">4、大督查专项经费绩效目标表</w:instrText>
      </w:r>
      <w:bookmarkEnd w:id="4"/>
      <w:r>
        <w:rPr>
          <w:rFonts w:hint="eastAsia" w:ascii="方正仿宋_GBK" w:hAnsi="Times New Roman" w:eastAsia="方正仿宋_GBK" w:cs="Times New Roman"/>
          <w:b/>
          <w:sz w:val="28"/>
          <w:szCs w:val="24"/>
        </w:rPr>
        <w:instrText xml:space="preserve">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7"/>
        <w:tblW w:w="1247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99"/>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99" w:type="dxa"/>
            <w:tcBorders>
              <w:bottom w:val="nil"/>
            </w:tcBorders>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1、通过对督查组全体成员开展一次域外培训，从而加强督查本领，提升督查工作能力。</w:t>
            </w:r>
          </w:p>
        </w:tc>
      </w:tr>
    </w:tbl>
    <w:p>
      <w:pPr>
        <w:spacing w:line="14" w:lineRule="exact"/>
        <w:ind w:firstLine="420" w:firstLineChars="200"/>
        <w:jc w:val="center"/>
        <w:rPr>
          <w:rFonts w:ascii="Times New Roman" w:hAnsi="宋体" w:eastAsia="宋体" w:cs="Times New Roman"/>
          <w:szCs w:val="24"/>
        </w:rPr>
      </w:pPr>
      <w:r>
        <w:rPr>
          <w:rFonts w:ascii="方正书宋_GBK" w:hAnsi="Times New Roman" w:eastAsia="方正书宋_GBK" w:cs="Times New Roman"/>
          <w:szCs w:val="24"/>
        </w:rPr>
        <w:t xml:space="preserve"> </w:t>
      </w:r>
    </w:p>
    <w:tbl>
      <w:tblPr>
        <w:tblStyle w:val="7"/>
        <w:tblW w:w="124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90"/>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190"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90" w:type="dxa"/>
            <w:vMerge w:val="restart"/>
            <w:shd w:val="clear" w:color="auto" w:fill="auto"/>
            <w:noWrap w:val="0"/>
            <w:vAlign w:val="center"/>
          </w:tcPr>
          <w:p>
            <w:pPr>
              <w:spacing w:line="300" w:lineRule="exact"/>
              <w:jc w:val="center"/>
              <w:rPr>
                <w:rFonts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组织培训次数</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对督查组全体成员、督查组办公室全体成员、事项相关单位人员的培训次数</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1次</w:t>
            </w:r>
          </w:p>
        </w:tc>
        <w:tc>
          <w:tcPr>
            <w:tcW w:w="170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90"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培训学员合格率</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参加培训学员人数占总培训学员人数的合格率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≤100%</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90"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培训工作开展及时性</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按照计划进度开展培训工作</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ascii="方正书宋_GBK" w:hAnsi="Times New Roman" w:eastAsia="方正书宋_GBK" w:cs="Times New Roman"/>
                <w:szCs w:val="24"/>
              </w:rPr>
              <w:t>100</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90"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效果指标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可持续影响指标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学员业务能力提升情况</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督查组人员通过培训在业务能力的提升情况</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 xml:space="preserve">提升 </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90"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培训人员满意度</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通过评分对培训总体情况进行调查问卷的满意度</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≤100%</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rPr>
          <w:rFonts w:ascii="Times New Roman" w:hAnsi="Times New Roman" w:eastAsia="宋体" w:cs="Times New Roman"/>
          <w:szCs w:val="24"/>
        </w:rPr>
      </w:pPr>
    </w:p>
    <w:p>
      <w:pPr>
        <w:ind w:firstLine="560" w:firstLineChars="200"/>
        <w:jc w:val="left"/>
        <w:outlineLvl w:val="1"/>
        <w:rPr>
          <w:rFonts w:ascii="Times New Roman" w:hAnsi="宋体" w:eastAsia="宋体" w:cs="Times New Roman"/>
          <w:b/>
          <w:sz w:val="28"/>
          <w:szCs w:val="24"/>
        </w:rPr>
      </w:pPr>
      <w:r>
        <w:rPr>
          <w:rFonts w:hint="eastAsia" w:ascii="方正仿宋_GBK" w:hAnsi="Times New Roman" w:eastAsia="方正仿宋_GBK" w:cs="Times New Roman"/>
          <w:b/>
          <w:sz w:val="28"/>
          <w:szCs w:val="24"/>
        </w:rPr>
        <w:t>5、大学生村官工资补贴绩效目标表</w:t>
      </w:r>
      <w:r>
        <w:rPr>
          <w:rFonts w:ascii="Times New Roman" w:hAnsi="Times New Roman" w:eastAsia="宋体"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w:instrText>
      </w:r>
      <w:bookmarkStart w:id="5" w:name="_Toc30520540"/>
      <w:r>
        <w:rPr>
          <w:rFonts w:hint="eastAsia" w:ascii="方正仿宋_GBK" w:hAnsi="Times New Roman" w:eastAsia="方正仿宋_GBK" w:cs="Times New Roman"/>
          <w:b/>
          <w:sz w:val="28"/>
          <w:szCs w:val="24"/>
        </w:rPr>
        <w:instrText xml:space="preserve">5、大学生村官工资补贴绩效目标表</w:instrText>
      </w:r>
      <w:bookmarkEnd w:id="5"/>
      <w:r>
        <w:rPr>
          <w:rFonts w:hint="eastAsia" w:ascii="方正仿宋_GBK" w:hAnsi="Times New Roman" w:eastAsia="方正仿宋_GBK" w:cs="Times New Roman"/>
          <w:b/>
          <w:sz w:val="28"/>
          <w:szCs w:val="24"/>
        </w:rPr>
        <w:instrText xml:space="preserve">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7"/>
        <w:tblW w:w="1241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32"/>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32" w:type="dxa"/>
            <w:tcBorders>
              <w:bottom w:val="nil"/>
            </w:tcBorders>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1、对27名大学生村官足额发放补贴，保障乡镇基本工作正常运转，和大学生村官生活需要。</w:t>
            </w:r>
          </w:p>
        </w:tc>
      </w:tr>
    </w:tbl>
    <w:p>
      <w:pPr>
        <w:spacing w:line="14" w:lineRule="exact"/>
        <w:ind w:firstLine="420" w:firstLineChars="200"/>
        <w:jc w:val="center"/>
        <w:rPr>
          <w:rFonts w:ascii="Times New Roman" w:hAnsi="宋体" w:eastAsia="宋体" w:cs="Times New Roman"/>
          <w:szCs w:val="24"/>
        </w:rPr>
      </w:pPr>
      <w:r>
        <w:rPr>
          <w:rFonts w:ascii="方正书宋_GBK" w:hAnsi="Times New Roman" w:eastAsia="方正书宋_GBK" w:cs="Times New Roman"/>
          <w:szCs w:val="24"/>
        </w:rPr>
        <w:t xml:space="preserve"> </w:t>
      </w:r>
    </w:p>
    <w:tbl>
      <w:tblPr>
        <w:tblStyle w:val="7"/>
        <w:tblW w:w="1243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98"/>
        <w:gridCol w:w="1134"/>
        <w:gridCol w:w="1276"/>
        <w:gridCol w:w="2891"/>
        <w:gridCol w:w="1276"/>
        <w:gridCol w:w="1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098"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58"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98" w:type="dxa"/>
            <w:vMerge w:val="restart"/>
            <w:shd w:val="clear" w:color="auto" w:fill="auto"/>
            <w:noWrap w:val="0"/>
            <w:vAlign w:val="center"/>
          </w:tcPr>
          <w:p>
            <w:pPr>
              <w:spacing w:line="300" w:lineRule="exact"/>
              <w:jc w:val="center"/>
              <w:rPr>
                <w:rFonts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补助大学生村官人数</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补助大学生村官人数</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27人</w:t>
            </w:r>
          </w:p>
        </w:tc>
        <w:tc>
          <w:tcPr>
            <w:tcW w:w="1758"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98"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补助金发放及时率(%)</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实际发放的补助金金额的及时情况</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ascii="方正书宋_GBK" w:hAnsi="Times New Roman" w:eastAsia="方正书宋_GBK" w:cs="Times New Roman"/>
                <w:szCs w:val="24"/>
              </w:rPr>
              <w:t>100%</w:t>
            </w:r>
          </w:p>
        </w:tc>
        <w:tc>
          <w:tcPr>
            <w:tcW w:w="1758"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98"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效果指标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补助人群生活改善情况</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补助人群在生活、医疗、教育、干事热情等方面的改善情况</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改善</w:t>
            </w:r>
          </w:p>
        </w:tc>
        <w:tc>
          <w:tcPr>
            <w:tcW w:w="1758"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98"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大学生村官满意度(%)</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通过问卷调查大学生村官生活工作情况，满意和较满意的受益对象占全部调研对象的比例</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≤100%</w:t>
            </w:r>
          </w:p>
        </w:tc>
        <w:tc>
          <w:tcPr>
            <w:tcW w:w="1758"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rPr>
          <w:rFonts w:ascii="Times New Roman" w:hAnsi="Times New Roman" w:eastAsia="宋体" w:cs="Times New Roman"/>
          <w:szCs w:val="24"/>
        </w:rPr>
      </w:pPr>
    </w:p>
    <w:p>
      <w:pPr>
        <w:ind w:firstLine="560" w:firstLineChars="200"/>
        <w:jc w:val="left"/>
        <w:outlineLvl w:val="1"/>
        <w:rPr>
          <w:rFonts w:ascii="Times New Roman" w:hAnsi="宋体" w:eastAsia="宋体" w:cs="Times New Roman"/>
          <w:b/>
          <w:sz w:val="28"/>
          <w:szCs w:val="24"/>
        </w:rPr>
      </w:pPr>
      <w:r>
        <w:rPr>
          <w:rFonts w:hint="eastAsia" w:ascii="方正仿宋_GBK" w:hAnsi="Times New Roman" w:eastAsia="方正仿宋_GBK" w:cs="Times New Roman"/>
          <w:b/>
          <w:sz w:val="28"/>
          <w:szCs w:val="24"/>
        </w:rPr>
        <w:t>6、党组织和领导干部培训经费绩效目标表</w:t>
      </w:r>
      <w:r>
        <w:rPr>
          <w:rFonts w:ascii="Times New Roman" w:hAnsi="Times New Roman" w:eastAsia="宋体"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w:instrText>
      </w:r>
      <w:bookmarkStart w:id="6" w:name="_Toc30520541"/>
      <w:r>
        <w:rPr>
          <w:rFonts w:hint="eastAsia" w:ascii="方正仿宋_GBK" w:hAnsi="Times New Roman" w:eastAsia="方正仿宋_GBK" w:cs="Times New Roman"/>
          <w:b/>
          <w:sz w:val="28"/>
          <w:szCs w:val="24"/>
        </w:rPr>
        <w:instrText xml:space="preserve">6、党组织和领导干部培训经费绩效目标表</w:instrText>
      </w:r>
      <w:bookmarkEnd w:id="6"/>
      <w:r>
        <w:rPr>
          <w:rFonts w:hint="eastAsia" w:ascii="方正仿宋_GBK" w:hAnsi="Times New Roman" w:eastAsia="方正仿宋_GBK" w:cs="Times New Roman"/>
          <w:b/>
          <w:sz w:val="28"/>
          <w:szCs w:val="24"/>
        </w:rPr>
        <w:instrText xml:space="preserve">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7"/>
        <w:tblW w:w="1247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99"/>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99" w:type="dxa"/>
            <w:tcBorders>
              <w:bottom w:val="nil"/>
            </w:tcBorders>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1、提高网宣员素质和本领;主题班次培训,举办专题培训4期</w:t>
            </w:r>
          </w:p>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2、非公党建和非公企业培训举行3批次，共150人</w:t>
            </w:r>
          </w:p>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3、科处级领导干部培训，把乡镇党委书记培训纳入全市党员培训规划和年度计划，累计不少于12天</w:t>
            </w:r>
          </w:p>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4、对全市农村干部进行系统培训，每年两批次，共200人</w:t>
            </w:r>
          </w:p>
        </w:tc>
      </w:tr>
    </w:tbl>
    <w:p>
      <w:pPr>
        <w:spacing w:line="14" w:lineRule="exact"/>
        <w:ind w:firstLine="420" w:firstLineChars="200"/>
        <w:jc w:val="center"/>
        <w:rPr>
          <w:rFonts w:ascii="Times New Roman" w:hAnsi="宋体" w:eastAsia="宋体" w:cs="Times New Roman"/>
          <w:szCs w:val="24"/>
        </w:rPr>
      </w:pPr>
      <w:r>
        <w:rPr>
          <w:rFonts w:ascii="方正书宋_GBK" w:hAnsi="Times New Roman" w:eastAsia="方正书宋_GBK" w:cs="Times New Roman"/>
          <w:szCs w:val="24"/>
        </w:rPr>
        <w:t xml:space="preserve"> </w:t>
      </w:r>
    </w:p>
    <w:tbl>
      <w:tblPr>
        <w:tblStyle w:val="7"/>
        <w:tblW w:w="124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83"/>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183"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83" w:type="dxa"/>
            <w:vMerge w:val="restart"/>
            <w:shd w:val="clear" w:color="auto" w:fill="auto"/>
            <w:noWrap w:val="0"/>
            <w:vAlign w:val="center"/>
          </w:tcPr>
          <w:p>
            <w:pPr>
              <w:spacing w:line="300" w:lineRule="exact"/>
              <w:jc w:val="center"/>
              <w:rPr>
                <w:rFonts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组织培训次数</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对全市科级领导干部培训次数</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≥8次</w:t>
            </w:r>
          </w:p>
        </w:tc>
        <w:tc>
          <w:tcPr>
            <w:tcW w:w="170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83"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组织培训次数</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对全市基层领导干部培训次数</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≥8次</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83"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组织培训次数</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对全市非公党建党组织书记培训次数</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≥4次</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83"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培训学员合格率</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参加培训学员人数占总培训学员人数的合格率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≤100%</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83"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培训工作开展及时性</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按照计划进度开展培训工作</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及时</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83"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效果指标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可持续影响指标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学员业务能力提升情况</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培训人员通过培训在业务能力的提升情况</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 xml:space="preserve">提升 </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83"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培训人员满意度</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培训人员对培训质量，培训效果的满意度</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≥80%</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rPr>
          <w:rFonts w:ascii="Times New Roman" w:hAnsi="Times New Roman" w:eastAsia="宋体" w:cs="Times New Roman"/>
          <w:szCs w:val="24"/>
        </w:rPr>
      </w:pPr>
    </w:p>
    <w:p>
      <w:pPr>
        <w:ind w:firstLine="560" w:firstLineChars="200"/>
        <w:jc w:val="left"/>
        <w:outlineLvl w:val="1"/>
        <w:rPr>
          <w:rFonts w:ascii="Times New Roman" w:hAnsi="宋体" w:eastAsia="宋体" w:cs="Times New Roman"/>
          <w:b/>
          <w:sz w:val="28"/>
          <w:szCs w:val="24"/>
        </w:rPr>
      </w:pPr>
      <w:r>
        <w:rPr>
          <w:rFonts w:hint="eastAsia" w:ascii="方正仿宋_GBK" w:hAnsi="Times New Roman" w:eastAsia="方正仿宋_GBK" w:cs="Times New Roman"/>
          <w:b/>
          <w:sz w:val="28"/>
          <w:szCs w:val="24"/>
        </w:rPr>
        <w:t>7、档案工作经费绩效目标表</w:t>
      </w:r>
      <w:r>
        <w:rPr>
          <w:rFonts w:ascii="Times New Roman" w:hAnsi="Times New Roman" w:eastAsia="宋体"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w:instrText>
      </w:r>
      <w:bookmarkStart w:id="7" w:name="_Toc30520542"/>
      <w:r>
        <w:rPr>
          <w:rFonts w:hint="eastAsia" w:ascii="方正仿宋_GBK" w:hAnsi="Times New Roman" w:eastAsia="方正仿宋_GBK" w:cs="Times New Roman"/>
          <w:b/>
          <w:sz w:val="28"/>
          <w:szCs w:val="24"/>
        </w:rPr>
        <w:instrText xml:space="preserve">7、档案工作经费绩效目标表</w:instrText>
      </w:r>
      <w:bookmarkEnd w:id="7"/>
      <w:r>
        <w:rPr>
          <w:rFonts w:hint="eastAsia" w:ascii="方正仿宋_GBK" w:hAnsi="Times New Roman" w:eastAsia="方正仿宋_GBK" w:cs="Times New Roman"/>
          <w:b/>
          <w:sz w:val="28"/>
          <w:szCs w:val="24"/>
        </w:rPr>
        <w:instrText xml:space="preserve">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7"/>
        <w:tblW w:w="124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58"/>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58" w:type="dxa"/>
            <w:tcBorders>
              <w:bottom w:val="nil"/>
            </w:tcBorders>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1、形成干部个人发展历史性考核情况，作为领导班子和领导干部分析和调整的重要依据。对全市165个各局党委、乡镇党委领导班子，成员进行考评，形成考评报告。</w:t>
            </w:r>
          </w:p>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2、建立公务员档案463份，形成全市科级干部数字化档案，为组织考察任用工作提供及时保障。</w:t>
            </w:r>
          </w:p>
        </w:tc>
      </w:tr>
    </w:tbl>
    <w:p>
      <w:pPr>
        <w:spacing w:line="14" w:lineRule="exact"/>
        <w:ind w:firstLine="420" w:firstLineChars="200"/>
        <w:jc w:val="center"/>
        <w:rPr>
          <w:rFonts w:ascii="Times New Roman" w:hAnsi="宋体" w:eastAsia="宋体" w:cs="Times New Roman"/>
          <w:szCs w:val="24"/>
        </w:rPr>
      </w:pPr>
      <w:r>
        <w:rPr>
          <w:rFonts w:ascii="方正书宋_GBK" w:hAnsi="Times New Roman" w:eastAsia="方正书宋_GBK" w:cs="Times New Roman"/>
          <w:szCs w:val="24"/>
        </w:rPr>
        <w:t xml:space="preserve"> </w:t>
      </w:r>
    </w:p>
    <w:tbl>
      <w:tblPr>
        <w:tblStyle w:val="7"/>
        <w:tblW w:w="124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58"/>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158"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8" w:type="dxa"/>
            <w:vMerge w:val="restart"/>
            <w:shd w:val="clear" w:color="auto" w:fill="auto"/>
            <w:noWrap w:val="0"/>
            <w:vAlign w:val="center"/>
          </w:tcPr>
          <w:p>
            <w:pPr>
              <w:spacing w:line="300" w:lineRule="exact"/>
              <w:jc w:val="center"/>
              <w:rPr>
                <w:rFonts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干部考核档案审核率</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建立考核档案审核的人数与要求考核的人数之间的比率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≥95%</w:t>
            </w:r>
          </w:p>
          <w:p>
            <w:pPr>
              <w:spacing w:line="300" w:lineRule="exact"/>
              <w:jc w:val="left"/>
              <w:rPr>
                <w:rFonts w:ascii="方正书宋_GBK" w:hAnsi="Times New Roman" w:eastAsia="方正书宋_GBK" w:cs="Times New Roman"/>
                <w:szCs w:val="24"/>
              </w:rPr>
            </w:pPr>
          </w:p>
          <w:p>
            <w:pPr>
              <w:spacing w:line="300" w:lineRule="exact"/>
              <w:jc w:val="left"/>
              <w:rPr>
                <w:rFonts w:ascii="方正书宋_GBK" w:hAnsi="Times New Roman" w:eastAsia="方正书宋_GBK" w:cs="Times New Roman"/>
                <w:szCs w:val="24"/>
              </w:rPr>
            </w:pPr>
          </w:p>
        </w:tc>
        <w:tc>
          <w:tcPr>
            <w:tcW w:w="170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8"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建档人员数量</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制作公务员档案数量</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463份</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8"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档案建制及时率</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对全市公务员和领导干部的档案建制及时情况</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≥90%</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8"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形成考核报告数量</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通过考核建档形成考核报告数量</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≥1套</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8" w:type="dxa"/>
            <w:vMerge w:val="restart"/>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效果指标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档案资料完整率（%）</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年度内已建立考核档案完好的档案资料数量占计划量的比率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≥95%</w:t>
            </w:r>
          </w:p>
          <w:p>
            <w:pPr>
              <w:spacing w:line="300" w:lineRule="exact"/>
              <w:jc w:val="left"/>
              <w:rPr>
                <w:rFonts w:ascii="方正书宋_GBK" w:hAnsi="Times New Roman" w:eastAsia="方正书宋_GBK" w:cs="Times New Roman"/>
                <w:szCs w:val="24"/>
              </w:rPr>
            </w:pPr>
          </w:p>
          <w:p>
            <w:pPr>
              <w:spacing w:line="300" w:lineRule="exact"/>
              <w:jc w:val="left"/>
              <w:rPr>
                <w:rFonts w:hint="eastAsia" w:ascii="方正书宋_GBK" w:hAnsi="Times New Roman" w:eastAsia="方正书宋_GBK" w:cs="Times New Roman"/>
                <w:szCs w:val="24"/>
              </w:rPr>
            </w:pP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8"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可持续影响指标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业务保障能力提升情况</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购置对考核工作保障能力的提升情况</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基本提升</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8"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上级满意度</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上级对档案建立情况的满意度</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≥90%</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rPr>
          <w:rFonts w:ascii="Times New Roman" w:hAnsi="Times New Roman" w:eastAsia="宋体" w:cs="Times New Roman"/>
          <w:szCs w:val="24"/>
        </w:rPr>
      </w:pPr>
    </w:p>
    <w:p>
      <w:pPr>
        <w:ind w:firstLine="560" w:firstLineChars="200"/>
        <w:jc w:val="left"/>
        <w:outlineLvl w:val="1"/>
        <w:rPr>
          <w:rFonts w:ascii="Times New Roman" w:hAnsi="宋体" w:eastAsia="宋体" w:cs="Times New Roman"/>
          <w:b/>
          <w:sz w:val="28"/>
          <w:szCs w:val="24"/>
        </w:rPr>
      </w:pPr>
      <w:r>
        <w:rPr>
          <w:rFonts w:hint="eastAsia" w:ascii="方正仿宋_GBK" w:hAnsi="Times New Roman" w:eastAsia="方正仿宋_GBK" w:cs="Times New Roman"/>
          <w:b/>
          <w:sz w:val="28"/>
          <w:szCs w:val="24"/>
        </w:rPr>
        <w:t>8、关于提前下达2020年老党员生活补贴省级补助经费的通知(冀财行[2019]32号)绩效目标表</w:t>
      </w:r>
      <w:r>
        <w:rPr>
          <w:rFonts w:ascii="Times New Roman" w:hAnsi="Times New Roman" w:eastAsia="宋体"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w:instrText>
      </w:r>
      <w:bookmarkStart w:id="8" w:name="_Toc30520543"/>
      <w:r>
        <w:rPr>
          <w:rFonts w:hint="eastAsia" w:ascii="方正仿宋_GBK" w:hAnsi="Times New Roman" w:eastAsia="方正仿宋_GBK" w:cs="Times New Roman"/>
          <w:b/>
          <w:sz w:val="28"/>
          <w:szCs w:val="24"/>
        </w:rPr>
        <w:instrText xml:space="preserve">8、关于提前下达2020年老党员生活补贴省级补助经费的通知(冀财行[2019]32号)绩效目标表</w:instrText>
      </w:r>
      <w:bookmarkEnd w:id="8"/>
      <w:r>
        <w:rPr>
          <w:rFonts w:hint="eastAsia" w:ascii="方正仿宋_GBK" w:hAnsi="Times New Roman" w:eastAsia="方正仿宋_GBK" w:cs="Times New Roman"/>
          <w:b/>
          <w:sz w:val="28"/>
          <w:szCs w:val="24"/>
        </w:rPr>
        <w:instrText xml:space="preserve">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7"/>
        <w:tblW w:w="124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77"/>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77" w:type="dxa"/>
            <w:tcBorders>
              <w:bottom w:val="nil"/>
            </w:tcBorders>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1、按时发放，市委组织部于春节前和“七一”前，分两次及时发放老党员生活补贴。</w:t>
            </w:r>
          </w:p>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2、按标准发放，严格按照有关标准规定，足额将生活补贴发放到27名老党员手中，确保落实老党员生活待遇。</w:t>
            </w:r>
          </w:p>
        </w:tc>
      </w:tr>
    </w:tbl>
    <w:p>
      <w:pPr>
        <w:spacing w:line="14" w:lineRule="exact"/>
        <w:ind w:firstLine="420" w:firstLineChars="200"/>
        <w:jc w:val="center"/>
        <w:rPr>
          <w:rFonts w:ascii="Times New Roman" w:hAnsi="宋体" w:eastAsia="宋体" w:cs="Times New Roman"/>
          <w:szCs w:val="24"/>
        </w:rPr>
      </w:pPr>
      <w:r>
        <w:rPr>
          <w:rFonts w:ascii="方正书宋_GBK" w:hAnsi="Times New Roman" w:eastAsia="方正书宋_GBK" w:cs="Times New Roman"/>
          <w:szCs w:val="24"/>
        </w:rPr>
        <w:t xml:space="preserve"> </w:t>
      </w:r>
    </w:p>
    <w:tbl>
      <w:tblPr>
        <w:tblStyle w:val="7"/>
        <w:tblW w:w="1246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89"/>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189"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89" w:type="dxa"/>
            <w:vMerge w:val="restart"/>
            <w:shd w:val="clear" w:color="auto" w:fill="auto"/>
            <w:noWrap w:val="0"/>
            <w:vAlign w:val="center"/>
          </w:tcPr>
          <w:p>
            <w:pPr>
              <w:spacing w:line="300" w:lineRule="exact"/>
              <w:jc w:val="center"/>
              <w:rPr>
                <w:rFonts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计划补助老党员人数</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计划补助老党员人数</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27人</w:t>
            </w:r>
          </w:p>
        </w:tc>
        <w:tc>
          <w:tcPr>
            <w:tcW w:w="170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89"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补助金发放率(%)</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实际发放的补助金金额占计划发放金额的比率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ascii="方正书宋_GBK" w:hAnsi="Times New Roman" w:eastAsia="方正书宋_GBK" w:cs="Times New Roman"/>
                <w:szCs w:val="24"/>
              </w:rPr>
              <w:t>100%</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89"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补助金发放准确率（%）</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实际发放的补助金准确的金额占计划发放金额的比率</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ascii="方正书宋_GBK" w:hAnsi="Times New Roman" w:eastAsia="方正书宋_GBK" w:cs="Times New Roman"/>
                <w:szCs w:val="24"/>
              </w:rPr>
              <w:t>100%</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89"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效果指标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保障老党员生活质量</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保障老党员生活质量</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保障</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89"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老党员满意度</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老党员对补助资金发放的满意度</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≥95%</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rPr>
          <w:rFonts w:ascii="Times New Roman" w:hAnsi="Times New Roman" w:eastAsia="宋体" w:cs="Times New Roman"/>
          <w:szCs w:val="24"/>
        </w:rPr>
      </w:pPr>
    </w:p>
    <w:p>
      <w:pPr>
        <w:ind w:firstLine="560" w:firstLineChars="200"/>
        <w:jc w:val="left"/>
        <w:outlineLvl w:val="1"/>
        <w:rPr>
          <w:rFonts w:ascii="Times New Roman" w:hAnsi="宋体" w:eastAsia="宋体" w:cs="Times New Roman"/>
          <w:b/>
          <w:sz w:val="28"/>
          <w:szCs w:val="24"/>
        </w:rPr>
      </w:pPr>
      <w:r>
        <w:rPr>
          <w:rFonts w:hint="eastAsia" w:ascii="方正仿宋_GBK" w:hAnsi="Times New Roman" w:eastAsia="方正仿宋_GBK" w:cs="Times New Roman"/>
          <w:b/>
          <w:sz w:val="28"/>
          <w:szCs w:val="24"/>
        </w:rPr>
        <w:t>9、关于提前下达2020年老党员生活补贴中央补助经费预算的通知(冀财行[2019]31号)绩效目标表</w:t>
      </w:r>
      <w:r>
        <w:rPr>
          <w:rFonts w:ascii="Times New Roman" w:hAnsi="Times New Roman" w:eastAsia="宋体"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w:instrText>
      </w:r>
      <w:bookmarkStart w:id="9" w:name="_Toc30520544"/>
      <w:r>
        <w:rPr>
          <w:rFonts w:hint="eastAsia" w:ascii="方正仿宋_GBK" w:hAnsi="Times New Roman" w:eastAsia="方正仿宋_GBK" w:cs="Times New Roman"/>
          <w:b/>
          <w:sz w:val="28"/>
          <w:szCs w:val="24"/>
        </w:rPr>
        <w:instrText xml:space="preserve">9、关于提前下达2020年老党员生活补贴中央补助经费预算的通知(冀财行[2019]31号)绩效目标表</w:instrText>
      </w:r>
      <w:bookmarkEnd w:id="9"/>
      <w:r>
        <w:rPr>
          <w:rFonts w:hint="eastAsia" w:ascii="方正仿宋_GBK" w:hAnsi="Times New Roman" w:eastAsia="方正仿宋_GBK" w:cs="Times New Roman"/>
          <w:b/>
          <w:sz w:val="28"/>
          <w:szCs w:val="24"/>
        </w:rPr>
        <w:instrText xml:space="preserve">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7"/>
        <w:tblW w:w="1230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30"/>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30" w:type="dxa"/>
            <w:tcBorders>
              <w:bottom w:val="nil"/>
            </w:tcBorders>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1、按时发放，市委组织部于春节前和“七一”前，分两次及时发放老党员生活补贴。</w:t>
            </w:r>
          </w:p>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2、按标准发放，严格按照有关标准规定，足额将生活补贴发放到27名老党员手中，确保落实老党员生活待遇。</w:t>
            </w:r>
          </w:p>
        </w:tc>
      </w:tr>
    </w:tbl>
    <w:p>
      <w:pPr>
        <w:spacing w:line="14" w:lineRule="exact"/>
        <w:ind w:firstLine="420" w:firstLineChars="200"/>
        <w:jc w:val="center"/>
        <w:rPr>
          <w:rFonts w:ascii="Times New Roman" w:hAnsi="宋体" w:eastAsia="宋体" w:cs="Times New Roman"/>
          <w:szCs w:val="24"/>
        </w:rPr>
      </w:pPr>
      <w:r>
        <w:rPr>
          <w:rFonts w:ascii="方正书宋_GBK" w:hAnsi="Times New Roman" w:eastAsia="方正书宋_GBK" w:cs="Times New Roman"/>
          <w:szCs w:val="24"/>
        </w:rPr>
        <w:t xml:space="preserve"> </w:t>
      </w:r>
    </w:p>
    <w:tbl>
      <w:tblPr>
        <w:tblStyle w:val="7"/>
        <w:tblW w:w="1232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49"/>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049"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49" w:type="dxa"/>
            <w:vMerge w:val="restart"/>
            <w:shd w:val="clear" w:color="auto" w:fill="auto"/>
            <w:noWrap w:val="0"/>
            <w:vAlign w:val="center"/>
          </w:tcPr>
          <w:p>
            <w:pPr>
              <w:spacing w:line="300" w:lineRule="exact"/>
              <w:jc w:val="center"/>
              <w:rPr>
                <w:rFonts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计划补助老党员人数</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计划补助老党员人数</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≤27人</w:t>
            </w:r>
          </w:p>
        </w:tc>
        <w:tc>
          <w:tcPr>
            <w:tcW w:w="170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49"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补助金发放率(%)</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实际发放的补助金金额占计划发放金额的比率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ascii="方正书宋_GBK" w:hAnsi="Times New Roman" w:eastAsia="方正书宋_GBK" w:cs="Times New Roman"/>
                <w:szCs w:val="24"/>
              </w:rPr>
              <w:t>100%</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49"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补助金发放准确率（%）</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实际发放的补助金准确的金额占计划发放金额的比率</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ascii="方正书宋_GBK" w:hAnsi="Times New Roman" w:eastAsia="方正书宋_GBK" w:cs="Times New Roman"/>
                <w:szCs w:val="24"/>
              </w:rPr>
              <w:t>100%</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49"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效果指标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保障老党员生活质量</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保障老党员生活质量</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保障</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49"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老党员满意度</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老党员对补助资金发放的满意度</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≥95%</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rPr>
          <w:rFonts w:ascii="Times New Roman" w:hAnsi="Times New Roman" w:eastAsia="宋体" w:cs="Times New Roman"/>
          <w:szCs w:val="24"/>
        </w:rPr>
      </w:pPr>
    </w:p>
    <w:p>
      <w:pPr>
        <w:ind w:firstLine="560" w:firstLineChars="200"/>
        <w:jc w:val="left"/>
        <w:outlineLvl w:val="1"/>
        <w:rPr>
          <w:rFonts w:ascii="Times New Roman" w:hAnsi="宋体" w:eastAsia="宋体" w:cs="Times New Roman"/>
          <w:b/>
          <w:sz w:val="28"/>
          <w:szCs w:val="24"/>
        </w:rPr>
      </w:pPr>
      <w:r>
        <w:rPr>
          <w:rFonts w:hint="eastAsia" w:ascii="方正仿宋_GBK" w:hAnsi="Times New Roman" w:eastAsia="方正仿宋_GBK" w:cs="Times New Roman"/>
          <w:b/>
          <w:sz w:val="28"/>
          <w:szCs w:val="24"/>
        </w:rPr>
        <w:t>10、关于下达选聘高校毕业生到村任职省级补助资金的通知(冀财行[2019]47号)绩效目标表</w:t>
      </w:r>
      <w:r>
        <w:rPr>
          <w:rFonts w:ascii="Times New Roman" w:hAnsi="Times New Roman" w:eastAsia="宋体"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w:instrText>
      </w:r>
      <w:bookmarkStart w:id="10" w:name="_Toc30520545"/>
      <w:r>
        <w:rPr>
          <w:rFonts w:hint="eastAsia" w:ascii="方正仿宋_GBK" w:hAnsi="Times New Roman" w:eastAsia="方正仿宋_GBK" w:cs="Times New Roman"/>
          <w:b/>
          <w:sz w:val="28"/>
          <w:szCs w:val="24"/>
        </w:rPr>
        <w:instrText xml:space="preserve">10、关于下达选聘高校毕业生到村任职省级补助资金的通知(冀财行[2019]47号)绩效目标表</w:instrText>
      </w:r>
      <w:bookmarkEnd w:id="10"/>
      <w:r>
        <w:rPr>
          <w:rFonts w:hint="eastAsia" w:ascii="方正仿宋_GBK" w:hAnsi="Times New Roman" w:eastAsia="方正仿宋_GBK" w:cs="Times New Roman"/>
          <w:b/>
          <w:sz w:val="28"/>
          <w:szCs w:val="24"/>
        </w:rPr>
        <w:instrText xml:space="preserve">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7"/>
        <w:tblW w:w="121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83"/>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83" w:type="dxa"/>
            <w:tcBorders>
              <w:bottom w:val="nil"/>
            </w:tcBorders>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1、保障乡镇基本工作正常运转，和大学生村官生活需要。补助人数为27人，补贴金必须全部足额发放。</w:t>
            </w:r>
          </w:p>
        </w:tc>
      </w:tr>
    </w:tbl>
    <w:p>
      <w:pPr>
        <w:spacing w:line="14" w:lineRule="exact"/>
        <w:ind w:firstLine="420" w:firstLineChars="200"/>
        <w:jc w:val="center"/>
        <w:rPr>
          <w:rFonts w:ascii="Times New Roman" w:hAnsi="宋体" w:eastAsia="宋体" w:cs="Times New Roman"/>
          <w:szCs w:val="24"/>
        </w:rPr>
      </w:pPr>
      <w:r>
        <w:rPr>
          <w:rFonts w:ascii="方正书宋_GBK" w:hAnsi="Times New Roman" w:eastAsia="方正书宋_GBK" w:cs="Times New Roman"/>
          <w:szCs w:val="24"/>
        </w:rPr>
        <w:t xml:space="preserve"> </w:t>
      </w:r>
    </w:p>
    <w:tbl>
      <w:tblPr>
        <w:tblStyle w:val="7"/>
        <w:tblW w:w="1214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71"/>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87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71" w:type="dxa"/>
            <w:vMerge w:val="restart"/>
            <w:shd w:val="clear" w:color="auto" w:fill="auto"/>
            <w:noWrap w:val="0"/>
            <w:vAlign w:val="center"/>
          </w:tcPr>
          <w:p>
            <w:pPr>
              <w:spacing w:line="300" w:lineRule="exact"/>
              <w:jc w:val="center"/>
              <w:rPr>
                <w:rFonts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补助大学生村官人数</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补助大学生村官人数</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27人</w:t>
            </w:r>
          </w:p>
        </w:tc>
        <w:tc>
          <w:tcPr>
            <w:tcW w:w="170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71"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补助金发放及时率(%)</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实际发放的补助金金额的及时情况</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ascii="方正书宋_GBK" w:hAnsi="Times New Roman" w:eastAsia="方正书宋_GBK" w:cs="Times New Roman"/>
                <w:szCs w:val="24"/>
              </w:rPr>
              <w:t>100%</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71"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效果指标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补助人群生活改善情况</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补助人群在生活、医疗、教育、干事热情等方面的改善情况</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改善</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71"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大学生村官满意度(%)</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通过问卷调查大学生村官生活工作情况，满意和较满意的受益对象占全部调研对象的比例</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≤100%</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rPr>
          <w:rFonts w:ascii="Times New Roman" w:hAnsi="Times New Roman" w:eastAsia="宋体" w:cs="Times New Roman"/>
          <w:szCs w:val="24"/>
        </w:rPr>
      </w:pPr>
    </w:p>
    <w:p>
      <w:pPr>
        <w:ind w:firstLine="560" w:firstLineChars="200"/>
        <w:jc w:val="left"/>
        <w:outlineLvl w:val="1"/>
        <w:rPr>
          <w:rFonts w:ascii="Times New Roman" w:hAnsi="宋体" w:eastAsia="宋体" w:cs="Times New Roman"/>
          <w:b/>
          <w:sz w:val="28"/>
          <w:szCs w:val="24"/>
        </w:rPr>
      </w:pPr>
      <w:r>
        <w:rPr>
          <w:rFonts w:hint="eastAsia" w:ascii="方正仿宋_GBK" w:hAnsi="Times New Roman" w:eastAsia="方正仿宋_GBK" w:cs="Times New Roman"/>
          <w:b/>
          <w:sz w:val="28"/>
          <w:szCs w:val="24"/>
        </w:rPr>
        <w:t>11、老党员生活补贴绩效目标表</w:t>
      </w:r>
      <w:r>
        <w:rPr>
          <w:rFonts w:ascii="Times New Roman" w:hAnsi="Times New Roman" w:eastAsia="宋体"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w:instrText>
      </w:r>
      <w:bookmarkStart w:id="11" w:name="_Toc30520546"/>
      <w:r>
        <w:rPr>
          <w:rFonts w:hint="eastAsia" w:ascii="方正仿宋_GBK" w:hAnsi="Times New Roman" w:eastAsia="方正仿宋_GBK" w:cs="Times New Roman"/>
          <w:b/>
          <w:sz w:val="28"/>
          <w:szCs w:val="24"/>
        </w:rPr>
        <w:instrText xml:space="preserve">11、老党员生活补贴绩效目标表</w:instrText>
      </w:r>
      <w:bookmarkEnd w:id="11"/>
      <w:r>
        <w:rPr>
          <w:rFonts w:hint="eastAsia" w:ascii="方正仿宋_GBK" w:hAnsi="Times New Roman" w:eastAsia="方正仿宋_GBK" w:cs="Times New Roman"/>
          <w:b/>
          <w:sz w:val="28"/>
          <w:szCs w:val="24"/>
        </w:rPr>
        <w:instrText xml:space="preserve">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7"/>
        <w:tblW w:w="121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15"/>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15" w:type="dxa"/>
            <w:tcBorders>
              <w:bottom w:val="nil"/>
            </w:tcBorders>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1、1.按时发放。县级党委组织部门会同民政部门，于春节前和“七一”前，分两次及时发放老党员生活补贴。</w:t>
            </w:r>
          </w:p>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2、2.按标准发放。严格按照有关规定标准，足额将生活补贴发放到27名老党员手中，确保落实老党员生活待遇。</w:t>
            </w:r>
          </w:p>
        </w:tc>
      </w:tr>
    </w:tbl>
    <w:p>
      <w:pPr>
        <w:spacing w:line="14" w:lineRule="exact"/>
        <w:ind w:firstLine="420" w:firstLineChars="200"/>
        <w:jc w:val="center"/>
        <w:rPr>
          <w:rFonts w:ascii="Times New Roman" w:hAnsi="宋体" w:eastAsia="宋体" w:cs="Times New Roman"/>
          <w:szCs w:val="24"/>
        </w:rPr>
      </w:pPr>
      <w:r>
        <w:rPr>
          <w:rFonts w:ascii="方正书宋_GBK" w:hAnsi="Times New Roman" w:eastAsia="方正书宋_GBK" w:cs="Times New Roman"/>
          <w:szCs w:val="24"/>
        </w:rPr>
        <w:t xml:space="preserve"> </w:t>
      </w:r>
    </w:p>
    <w:tbl>
      <w:tblPr>
        <w:tblStyle w:val="7"/>
        <w:tblW w:w="121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15"/>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915"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15" w:type="dxa"/>
            <w:vMerge w:val="restart"/>
            <w:shd w:val="clear" w:color="auto" w:fill="auto"/>
            <w:noWrap w:val="0"/>
            <w:vAlign w:val="center"/>
          </w:tcPr>
          <w:p>
            <w:pPr>
              <w:spacing w:line="300" w:lineRule="exact"/>
              <w:jc w:val="center"/>
              <w:rPr>
                <w:rFonts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计划补助老党员人数</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计划补助老党员人数</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≤27人</w:t>
            </w:r>
          </w:p>
        </w:tc>
        <w:tc>
          <w:tcPr>
            <w:tcW w:w="170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15"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补助金发放率</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实际发放的补助金金额占计划发放金额的比率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≥100%</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15"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补助金发放准确率</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实际发放的补助金准确的金额占计划发放金额的比率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≥100%</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15"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补助资金发放及时性</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按计划及时发放补助资金情况</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≤100%</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15"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效果指标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保障老党员生活质量</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保障老党员生活质量</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保障</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15"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老党员满意度</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老党员对补助资金发放的满意度</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≥80%</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rPr>
          <w:rFonts w:ascii="Times New Roman" w:hAnsi="Times New Roman" w:eastAsia="宋体" w:cs="Times New Roman"/>
          <w:szCs w:val="24"/>
        </w:rPr>
      </w:pPr>
    </w:p>
    <w:p>
      <w:pPr>
        <w:ind w:firstLine="560" w:firstLineChars="200"/>
        <w:jc w:val="left"/>
        <w:outlineLvl w:val="1"/>
        <w:rPr>
          <w:rFonts w:ascii="Times New Roman" w:hAnsi="宋体" w:eastAsia="宋体" w:cs="Times New Roman"/>
          <w:b/>
          <w:sz w:val="28"/>
          <w:szCs w:val="24"/>
        </w:rPr>
      </w:pPr>
      <w:r>
        <w:rPr>
          <w:rFonts w:hint="eastAsia" w:ascii="方正仿宋_GBK" w:hAnsi="Times New Roman" w:eastAsia="方正仿宋_GBK" w:cs="Times New Roman"/>
          <w:b/>
          <w:sz w:val="28"/>
          <w:szCs w:val="24"/>
        </w:rPr>
        <w:t>12、离退休干部春节慰问经费绩效目标表</w:t>
      </w:r>
      <w:r>
        <w:rPr>
          <w:rFonts w:ascii="Times New Roman" w:hAnsi="Times New Roman" w:eastAsia="宋体"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w:instrText>
      </w:r>
      <w:bookmarkStart w:id="12" w:name="_Toc30520547"/>
      <w:r>
        <w:rPr>
          <w:rFonts w:hint="eastAsia" w:ascii="方正仿宋_GBK" w:hAnsi="Times New Roman" w:eastAsia="方正仿宋_GBK" w:cs="Times New Roman"/>
          <w:b/>
          <w:sz w:val="28"/>
          <w:szCs w:val="24"/>
        </w:rPr>
        <w:instrText xml:space="preserve">12、离退休干部春节慰问经费绩效目标表</w:instrText>
      </w:r>
      <w:bookmarkEnd w:id="12"/>
      <w:r>
        <w:rPr>
          <w:rFonts w:hint="eastAsia" w:ascii="方正仿宋_GBK" w:hAnsi="Times New Roman" w:eastAsia="方正仿宋_GBK" w:cs="Times New Roman"/>
          <w:b/>
          <w:sz w:val="28"/>
          <w:szCs w:val="24"/>
        </w:rPr>
        <w:instrText xml:space="preserve">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7"/>
        <w:tblW w:w="1219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1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14" w:type="dxa"/>
            <w:tcBorders>
              <w:bottom w:val="nil"/>
            </w:tcBorders>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1、体现党对老干部和三援干部的关怀，慰问干部数量约为71人。了解和掌握老干部的思想动态和合理诉求，形成关心帮助老干部的良好社会氛围。</w:t>
            </w:r>
          </w:p>
        </w:tc>
      </w:tr>
    </w:tbl>
    <w:p>
      <w:pPr>
        <w:spacing w:line="14" w:lineRule="exact"/>
        <w:ind w:firstLine="420" w:firstLineChars="200"/>
        <w:jc w:val="center"/>
        <w:rPr>
          <w:rFonts w:ascii="Times New Roman" w:hAnsi="宋体" w:eastAsia="宋体" w:cs="Times New Roman"/>
          <w:szCs w:val="24"/>
        </w:rPr>
      </w:pPr>
      <w:r>
        <w:rPr>
          <w:rFonts w:ascii="方正书宋_GBK" w:hAnsi="Times New Roman" w:eastAsia="方正书宋_GBK" w:cs="Times New Roman"/>
          <w:szCs w:val="24"/>
        </w:rPr>
        <w:t xml:space="preserve"> </w:t>
      </w:r>
    </w:p>
    <w:tbl>
      <w:tblPr>
        <w:tblStyle w:val="7"/>
        <w:tblW w:w="1216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89"/>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889"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89" w:type="dxa"/>
            <w:vMerge w:val="restart"/>
            <w:shd w:val="clear" w:color="auto" w:fill="auto"/>
            <w:noWrap w:val="0"/>
            <w:vAlign w:val="center"/>
          </w:tcPr>
          <w:p>
            <w:pPr>
              <w:spacing w:line="300" w:lineRule="exact"/>
              <w:jc w:val="center"/>
              <w:rPr>
                <w:rFonts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补助老干部三援干部人数</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补助老干部三援干部人数</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71人</w:t>
            </w:r>
          </w:p>
        </w:tc>
        <w:tc>
          <w:tcPr>
            <w:tcW w:w="170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89"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补助金发放及时率（%）</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实际发放的补助金额占计划发放金额的比率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ascii="方正书宋_GBK" w:hAnsi="Times New Roman" w:eastAsia="方正书宋_GBK" w:cs="Times New Roman"/>
                <w:szCs w:val="24"/>
              </w:rPr>
              <w:t>100%</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89"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效果指标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形成良好的老干部社会氛围</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形成良好的老干部社会氛围</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良好</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89"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老干部三援干部满意度(%)</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通过问卷调查，老干部和三援干部对党的关怀满意和较满意的受益对象占全部调研对象的比例</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≥90%</w:t>
            </w:r>
          </w:p>
          <w:p>
            <w:pPr>
              <w:spacing w:line="300" w:lineRule="exact"/>
              <w:jc w:val="left"/>
              <w:rPr>
                <w:rFonts w:hint="eastAsia" w:ascii="方正书宋_GBK" w:hAnsi="Times New Roman" w:eastAsia="方正书宋_GBK" w:cs="Times New Roman"/>
                <w:szCs w:val="24"/>
              </w:rPr>
            </w:pP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rPr>
          <w:rFonts w:ascii="Times New Roman" w:hAnsi="Times New Roman" w:eastAsia="宋体" w:cs="Times New Roman"/>
          <w:szCs w:val="24"/>
        </w:rPr>
      </w:pPr>
    </w:p>
    <w:p>
      <w:pPr>
        <w:ind w:firstLine="560" w:firstLineChars="200"/>
        <w:jc w:val="left"/>
        <w:outlineLvl w:val="1"/>
        <w:rPr>
          <w:rFonts w:ascii="Times New Roman" w:hAnsi="宋体" w:eastAsia="宋体" w:cs="Times New Roman"/>
          <w:b/>
          <w:sz w:val="28"/>
          <w:szCs w:val="24"/>
        </w:rPr>
      </w:pPr>
      <w:r>
        <w:rPr>
          <w:rFonts w:hint="eastAsia" w:ascii="方正仿宋_GBK" w:hAnsi="Times New Roman" w:eastAsia="方正仿宋_GBK" w:cs="Times New Roman"/>
          <w:b/>
          <w:sz w:val="28"/>
          <w:szCs w:val="24"/>
        </w:rPr>
        <w:t>13、农村干部基础职务补贴绩效目标表</w:t>
      </w:r>
      <w:r>
        <w:rPr>
          <w:rFonts w:ascii="Times New Roman" w:hAnsi="Times New Roman" w:eastAsia="宋体"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w:instrText>
      </w:r>
      <w:bookmarkStart w:id="13" w:name="_Toc30520548"/>
      <w:r>
        <w:rPr>
          <w:rFonts w:hint="eastAsia" w:ascii="方正仿宋_GBK" w:hAnsi="Times New Roman" w:eastAsia="方正仿宋_GBK" w:cs="Times New Roman"/>
          <w:b/>
          <w:sz w:val="28"/>
          <w:szCs w:val="24"/>
        </w:rPr>
        <w:instrText xml:space="preserve">13、农村干部基础职务补贴绩效目标表</w:instrText>
      </w:r>
      <w:bookmarkEnd w:id="13"/>
      <w:r>
        <w:rPr>
          <w:rFonts w:hint="eastAsia" w:ascii="方正仿宋_GBK" w:hAnsi="Times New Roman" w:eastAsia="方正仿宋_GBK" w:cs="Times New Roman"/>
          <w:b/>
          <w:sz w:val="28"/>
          <w:szCs w:val="24"/>
        </w:rPr>
        <w:instrText xml:space="preserve">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7"/>
        <w:tblW w:w="1221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39"/>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9" w:type="dxa"/>
            <w:tcBorders>
              <w:bottom w:val="nil"/>
            </w:tcBorders>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1、按补贴标准足额发放到1473名农村干部。保障农村干部生活需要。</w:t>
            </w:r>
          </w:p>
        </w:tc>
      </w:tr>
    </w:tbl>
    <w:p>
      <w:pPr>
        <w:spacing w:line="14" w:lineRule="exact"/>
        <w:ind w:firstLine="420" w:firstLineChars="200"/>
        <w:jc w:val="center"/>
        <w:rPr>
          <w:rFonts w:ascii="Times New Roman" w:hAnsi="宋体" w:eastAsia="宋体" w:cs="Times New Roman"/>
          <w:szCs w:val="24"/>
        </w:rPr>
      </w:pPr>
      <w:r>
        <w:rPr>
          <w:rFonts w:ascii="方正书宋_GBK" w:hAnsi="Times New Roman" w:eastAsia="方正书宋_GBK" w:cs="Times New Roman"/>
          <w:szCs w:val="24"/>
        </w:rPr>
        <w:t xml:space="preserve"> </w:t>
      </w:r>
    </w:p>
    <w:tbl>
      <w:tblPr>
        <w:tblStyle w:val="7"/>
        <w:tblW w:w="1222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45"/>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945"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45" w:type="dxa"/>
            <w:vMerge w:val="restart"/>
            <w:shd w:val="clear" w:color="auto" w:fill="auto"/>
            <w:noWrap w:val="0"/>
            <w:vAlign w:val="center"/>
          </w:tcPr>
          <w:p>
            <w:pPr>
              <w:spacing w:line="300" w:lineRule="exact"/>
              <w:jc w:val="center"/>
              <w:rPr>
                <w:rFonts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补助农村干部人数</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补助农村干部人数</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≤1473人</w:t>
            </w:r>
          </w:p>
        </w:tc>
        <w:tc>
          <w:tcPr>
            <w:tcW w:w="170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45"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补助金及时率(%)</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实际发放的补助金金额占计划发放金额的及时率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≤100%</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45"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效果指标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保障农村干部生活需要</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通过发放补贴保障改善农村干部生活需要</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保障</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45"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农村干部满意度(%)</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通过问卷调查，满意和较满意的农村干部占全部调研对象的比例</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≥90%</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rPr>
          <w:rFonts w:ascii="Times New Roman" w:hAnsi="Times New Roman" w:eastAsia="宋体" w:cs="Times New Roman"/>
          <w:szCs w:val="24"/>
        </w:rPr>
      </w:pPr>
    </w:p>
    <w:p>
      <w:pPr>
        <w:ind w:firstLine="560" w:firstLineChars="200"/>
        <w:jc w:val="left"/>
        <w:outlineLvl w:val="1"/>
        <w:rPr>
          <w:rFonts w:ascii="Times New Roman" w:hAnsi="宋体" w:eastAsia="宋体" w:cs="Times New Roman"/>
          <w:b/>
          <w:sz w:val="28"/>
          <w:szCs w:val="24"/>
        </w:rPr>
      </w:pPr>
      <w:r>
        <w:rPr>
          <w:rFonts w:hint="eastAsia" w:ascii="方正仿宋_GBK" w:hAnsi="Times New Roman" w:eastAsia="方正仿宋_GBK" w:cs="Times New Roman"/>
          <w:b/>
          <w:sz w:val="28"/>
          <w:szCs w:val="24"/>
        </w:rPr>
        <w:t>14、农村干部基础职务补贴（冀财预[2019]67号）绩效目标表</w:t>
      </w:r>
      <w:r>
        <w:rPr>
          <w:rFonts w:ascii="Times New Roman" w:hAnsi="Times New Roman" w:eastAsia="宋体"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w:instrText>
      </w:r>
      <w:bookmarkStart w:id="14" w:name="_Toc30520549"/>
      <w:r>
        <w:rPr>
          <w:rFonts w:hint="eastAsia" w:ascii="方正仿宋_GBK" w:hAnsi="Times New Roman" w:eastAsia="方正仿宋_GBK" w:cs="Times New Roman"/>
          <w:b/>
          <w:sz w:val="28"/>
          <w:szCs w:val="24"/>
        </w:rPr>
        <w:instrText xml:space="preserve">14、农村干部基础职务补贴（冀财预[2019]67号）绩效目标表</w:instrText>
      </w:r>
      <w:bookmarkEnd w:id="14"/>
      <w:r>
        <w:rPr>
          <w:rFonts w:hint="eastAsia" w:ascii="方正仿宋_GBK" w:hAnsi="Times New Roman" w:eastAsia="方正仿宋_GBK" w:cs="Times New Roman"/>
          <w:b/>
          <w:sz w:val="28"/>
          <w:szCs w:val="24"/>
        </w:rPr>
        <w:instrText xml:space="preserve">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7"/>
        <w:tblW w:w="122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65"/>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65" w:type="dxa"/>
            <w:tcBorders>
              <w:bottom w:val="nil"/>
            </w:tcBorders>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1、按补贴标准足额发放到1473名农村干部。保障农村干部生活需要。</w:t>
            </w:r>
          </w:p>
        </w:tc>
      </w:tr>
    </w:tbl>
    <w:p>
      <w:pPr>
        <w:spacing w:line="14" w:lineRule="exact"/>
        <w:ind w:firstLine="420" w:firstLineChars="200"/>
        <w:jc w:val="center"/>
        <w:rPr>
          <w:rFonts w:ascii="Times New Roman" w:hAnsi="宋体" w:eastAsia="宋体" w:cs="Times New Roman"/>
          <w:szCs w:val="24"/>
        </w:rPr>
      </w:pPr>
      <w:r>
        <w:rPr>
          <w:rFonts w:ascii="方正书宋_GBK" w:hAnsi="Times New Roman" w:eastAsia="方正书宋_GBK" w:cs="Times New Roman"/>
          <w:szCs w:val="24"/>
        </w:rPr>
        <w:t xml:space="preserve"> </w:t>
      </w:r>
    </w:p>
    <w:tbl>
      <w:tblPr>
        <w:tblStyle w:val="7"/>
        <w:tblW w:w="1221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33"/>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933"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33" w:type="dxa"/>
            <w:vMerge w:val="restart"/>
            <w:shd w:val="clear" w:color="auto" w:fill="auto"/>
            <w:noWrap w:val="0"/>
            <w:vAlign w:val="center"/>
          </w:tcPr>
          <w:p>
            <w:pPr>
              <w:spacing w:line="300" w:lineRule="exact"/>
              <w:jc w:val="center"/>
              <w:rPr>
                <w:rFonts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补助农村干部人数</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补助农村干部人数</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≤1473人</w:t>
            </w:r>
          </w:p>
        </w:tc>
        <w:tc>
          <w:tcPr>
            <w:tcW w:w="170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33"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补助金及时率(%)</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实际发放的补助金金额占计划发放金额的及时率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≤100%</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33"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效果指标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保障农村干部生活需要</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通过发放补贴保障改善农村干部生活需要</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保障</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33"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农村干部满意度(%)</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通过问卷调查，满意和较满意的农村干部占全部调研对象的比例</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≥90%</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rPr>
          <w:rFonts w:ascii="Times New Roman" w:hAnsi="Times New Roman" w:eastAsia="宋体" w:cs="Times New Roman"/>
          <w:szCs w:val="24"/>
        </w:rPr>
      </w:pPr>
    </w:p>
    <w:p>
      <w:pPr>
        <w:ind w:firstLine="560" w:firstLineChars="200"/>
        <w:jc w:val="left"/>
        <w:outlineLvl w:val="1"/>
        <w:rPr>
          <w:rFonts w:ascii="Times New Roman" w:hAnsi="宋体" w:eastAsia="宋体" w:cs="Times New Roman"/>
          <w:b/>
          <w:sz w:val="28"/>
          <w:szCs w:val="24"/>
        </w:rPr>
      </w:pPr>
      <w:r>
        <w:rPr>
          <w:rFonts w:hint="eastAsia" w:ascii="方正仿宋_GBK" w:hAnsi="Times New Roman" w:eastAsia="方正仿宋_GBK" w:cs="Times New Roman"/>
          <w:b/>
          <w:sz w:val="28"/>
          <w:szCs w:val="24"/>
        </w:rPr>
        <w:t>15、市管专家待遇经费绩效目标表</w:t>
      </w:r>
      <w:r>
        <w:rPr>
          <w:rFonts w:ascii="Times New Roman" w:hAnsi="Times New Roman" w:eastAsia="宋体"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w:instrText>
      </w:r>
      <w:bookmarkStart w:id="15" w:name="_Toc30520550"/>
      <w:r>
        <w:rPr>
          <w:rFonts w:hint="eastAsia" w:ascii="方正仿宋_GBK" w:hAnsi="Times New Roman" w:eastAsia="方正仿宋_GBK" w:cs="Times New Roman"/>
          <w:b/>
          <w:sz w:val="28"/>
          <w:szCs w:val="24"/>
        </w:rPr>
        <w:instrText xml:space="preserve">15、市管专家待遇经费绩效目标表</w:instrText>
      </w:r>
      <w:bookmarkEnd w:id="15"/>
      <w:r>
        <w:rPr>
          <w:rFonts w:hint="eastAsia" w:ascii="方正仿宋_GBK" w:hAnsi="Times New Roman" w:eastAsia="方正仿宋_GBK" w:cs="Times New Roman"/>
          <w:b/>
          <w:sz w:val="28"/>
          <w:szCs w:val="24"/>
        </w:rPr>
        <w:instrText xml:space="preserve">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7"/>
        <w:tblW w:w="1208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08"/>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08" w:type="dxa"/>
            <w:tcBorders>
              <w:bottom w:val="nil"/>
            </w:tcBorders>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1、通过落实市管专家待遇并发放补贴，调动市管专家建言献议的热情，为社会服务带来社会贡献能力。</w:t>
            </w:r>
          </w:p>
        </w:tc>
      </w:tr>
    </w:tbl>
    <w:p>
      <w:pPr>
        <w:spacing w:line="14" w:lineRule="exact"/>
        <w:ind w:firstLine="420" w:firstLineChars="200"/>
        <w:jc w:val="center"/>
        <w:rPr>
          <w:rFonts w:ascii="Times New Roman" w:hAnsi="宋体" w:eastAsia="宋体" w:cs="Times New Roman"/>
          <w:szCs w:val="24"/>
        </w:rPr>
      </w:pPr>
      <w:r>
        <w:rPr>
          <w:rFonts w:ascii="方正书宋_GBK" w:hAnsi="Times New Roman" w:eastAsia="方正书宋_GBK" w:cs="Times New Roman"/>
          <w:szCs w:val="24"/>
        </w:rPr>
        <w:t xml:space="preserve"> </w:t>
      </w:r>
    </w:p>
    <w:tbl>
      <w:tblPr>
        <w:tblStyle w:val="7"/>
        <w:tblW w:w="1212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45"/>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845"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45" w:type="dxa"/>
            <w:vMerge w:val="restart"/>
            <w:shd w:val="clear" w:color="auto" w:fill="auto"/>
            <w:noWrap w:val="0"/>
            <w:vAlign w:val="center"/>
          </w:tcPr>
          <w:p>
            <w:pPr>
              <w:spacing w:line="300" w:lineRule="exact"/>
              <w:jc w:val="center"/>
              <w:rPr>
                <w:rFonts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补助个人（家庭）数量（人/户）</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市管专家补助和待遇落实人数</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≥49人</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p>
            <w:pPr>
              <w:spacing w:line="300" w:lineRule="exact"/>
              <w:jc w:val="lef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45"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开展健康体检次数</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开展健康体检次数</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1次</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p>
            <w:pPr>
              <w:spacing w:line="300" w:lineRule="exact"/>
              <w:jc w:val="left"/>
              <w:rPr>
                <w:rFonts w:hint="eastAsia"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45"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开展休假疗养次数</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开展休假疗养次数</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1次</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p>
            <w:pPr>
              <w:spacing w:line="300" w:lineRule="exact"/>
              <w:jc w:val="left"/>
              <w:rPr>
                <w:rFonts w:hint="eastAsia"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45"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补助发放及时率(%)</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已发放补助金额占补助总额的比率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ascii="方正书宋_GBK" w:hAnsi="Times New Roman" w:eastAsia="方正书宋_GBK" w:cs="Times New Roman"/>
                <w:szCs w:val="24"/>
              </w:rPr>
              <w:t>100%</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p>
            <w:pPr>
              <w:spacing w:line="300" w:lineRule="exact"/>
              <w:jc w:val="left"/>
              <w:rPr>
                <w:rFonts w:hint="eastAsia"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45"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效果指标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提高市管专家建言献议积极性</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项目实施对市管专家建言献议积极性的提高带动情况</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提高</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p>
            <w:pPr>
              <w:spacing w:line="300" w:lineRule="exact"/>
              <w:jc w:val="left"/>
              <w:rPr>
                <w:rFonts w:hint="eastAsia"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45"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市管专家满意度(%)</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通过问卷调查对市管专家联系服务制度，满意和较满意的受益对象占全部调研对象的比例</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≥90%</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p>
            <w:pPr>
              <w:spacing w:line="300" w:lineRule="exact"/>
              <w:jc w:val="left"/>
              <w:rPr>
                <w:rFonts w:hint="eastAsia" w:ascii="方正书宋_GBK" w:hAnsi="Times New Roman" w:eastAsia="方正书宋_GBK" w:cs="Times New Roman"/>
                <w:szCs w:val="24"/>
              </w:rPr>
            </w:pP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rPr>
          <w:rFonts w:ascii="Times New Roman" w:hAnsi="Times New Roman" w:eastAsia="宋体" w:cs="Times New Roman"/>
          <w:szCs w:val="24"/>
        </w:rPr>
      </w:pPr>
    </w:p>
    <w:p>
      <w:pPr>
        <w:ind w:firstLine="560" w:firstLineChars="200"/>
        <w:jc w:val="left"/>
        <w:outlineLvl w:val="1"/>
        <w:rPr>
          <w:rFonts w:ascii="Times New Roman" w:hAnsi="宋体" w:eastAsia="宋体" w:cs="Times New Roman"/>
          <w:b/>
          <w:sz w:val="28"/>
          <w:szCs w:val="24"/>
        </w:rPr>
      </w:pPr>
      <w:r>
        <w:rPr>
          <w:rFonts w:hint="eastAsia" w:ascii="方正仿宋_GBK" w:hAnsi="Times New Roman" w:eastAsia="方正仿宋_GBK" w:cs="Times New Roman"/>
          <w:b/>
          <w:sz w:val="28"/>
          <w:szCs w:val="24"/>
        </w:rPr>
        <w:t>16、网宣工作专项经费绩效目标表</w:t>
      </w:r>
      <w:r>
        <w:rPr>
          <w:rFonts w:ascii="Times New Roman" w:hAnsi="Times New Roman" w:eastAsia="宋体"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w:instrText>
      </w:r>
      <w:bookmarkStart w:id="16" w:name="_Toc30520551"/>
      <w:r>
        <w:rPr>
          <w:rFonts w:hint="eastAsia" w:ascii="方正仿宋_GBK" w:hAnsi="Times New Roman" w:eastAsia="方正仿宋_GBK" w:cs="Times New Roman"/>
          <w:b/>
          <w:sz w:val="28"/>
          <w:szCs w:val="24"/>
        </w:rPr>
        <w:instrText xml:space="preserve">16、网宣工作专项经费绩效目标表</w:instrText>
      </w:r>
      <w:bookmarkEnd w:id="16"/>
      <w:r>
        <w:rPr>
          <w:rFonts w:hint="eastAsia" w:ascii="方正仿宋_GBK" w:hAnsi="Times New Roman" w:eastAsia="方正仿宋_GBK" w:cs="Times New Roman"/>
          <w:b/>
          <w:sz w:val="28"/>
          <w:szCs w:val="24"/>
        </w:rPr>
        <w:instrText xml:space="preserve">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7"/>
        <w:tblW w:w="12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46"/>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6" w:type="dxa"/>
            <w:tcBorders>
              <w:bottom w:val="nil"/>
            </w:tcBorders>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1、通过组织网宣员培训，增强组工干部知网、懂网、用网，提升网络监控能力、党性修养，进一步激发工作热情。</w:t>
            </w:r>
          </w:p>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2、通过召开廊坊片区交流会增强各区市县网络舆情处置、应对能力。</w:t>
            </w:r>
          </w:p>
        </w:tc>
      </w:tr>
    </w:tbl>
    <w:p>
      <w:pPr>
        <w:spacing w:line="14" w:lineRule="exact"/>
        <w:ind w:firstLine="420" w:firstLineChars="200"/>
        <w:jc w:val="center"/>
        <w:rPr>
          <w:rFonts w:ascii="Times New Roman" w:hAnsi="宋体" w:eastAsia="宋体" w:cs="Times New Roman"/>
          <w:szCs w:val="24"/>
        </w:rPr>
      </w:pPr>
      <w:r>
        <w:rPr>
          <w:rFonts w:ascii="方正书宋_GBK" w:hAnsi="Times New Roman" w:eastAsia="方正书宋_GBK" w:cs="Times New Roman"/>
          <w:szCs w:val="24"/>
        </w:rPr>
        <w:t xml:space="preserve"> </w:t>
      </w:r>
    </w:p>
    <w:tbl>
      <w:tblPr>
        <w:tblStyle w:val="7"/>
        <w:tblW w:w="1202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45"/>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745"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745" w:type="dxa"/>
            <w:vMerge w:val="restart"/>
            <w:shd w:val="clear" w:color="auto" w:fill="auto"/>
            <w:noWrap w:val="0"/>
            <w:vAlign w:val="center"/>
          </w:tcPr>
          <w:p>
            <w:pPr>
              <w:spacing w:line="300" w:lineRule="exact"/>
              <w:jc w:val="center"/>
              <w:rPr>
                <w:rFonts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组织培训次数</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各乡镇（区、办）副书记、组委、网宣员、有关市直单位信息员的培训次娄</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≤6次</w:t>
            </w:r>
          </w:p>
        </w:tc>
        <w:tc>
          <w:tcPr>
            <w:tcW w:w="170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745"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参加培训人员数量</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参加域内、域外参加培训人数</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≤260人</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745"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培训学员合格率</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参加培训学员人数合格率占总培训学员人数的比例</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≤100%</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745"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效果指标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可持续影响指标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学员业务素质提升情况</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通过培训使网宣员在工作能力提升情况</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 xml:space="preserve">提升 </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745"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培训学员满意度</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参加培训的学员对培训内容和培训效果的满意度</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≤100%</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rPr>
          <w:rFonts w:ascii="Times New Roman" w:hAnsi="Times New Roman" w:eastAsia="宋体" w:cs="Times New Roman"/>
          <w:szCs w:val="24"/>
        </w:rPr>
      </w:pPr>
    </w:p>
    <w:p>
      <w:pPr>
        <w:ind w:firstLine="560" w:firstLineChars="200"/>
        <w:jc w:val="left"/>
        <w:outlineLvl w:val="1"/>
        <w:rPr>
          <w:rFonts w:ascii="Times New Roman" w:hAnsi="宋体" w:eastAsia="宋体" w:cs="Times New Roman"/>
          <w:b/>
          <w:sz w:val="28"/>
          <w:szCs w:val="24"/>
        </w:rPr>
      </w:pPr>
      <w:r>
        <w:rPr>
          <w:rFonts w:hint="eastAsia" w:ascii="方正仿宋_GBK" w:hAnsi="Times New Roman" w:eastAsia="方正仿宋_GBK" w:cs="Times New Roman"/>
          <w:b/>
          <w:sz w:val="28"/>
          <w:szCs w:val="24"/>
        </w:rPr>
        <w:t>17、远程教育工作经费绩效目标表</w:t>
      </w:r>
      <w:r>
        <w:rPr>
          <w:rFonts w:ascii="Times New Roman" w:hAnsi="Times New Roman" w:eastAsia="宋体"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w:instrText>
      </w:r>
      <w:bookmarkStart w:id="17" w:name="_Toc30520552"/>
      <w:r>
        <w:rPr>
          <w:rFonts w:hint="eastAsia" w:ascii="方正仿宋_GBK" w:hAnsi="Times New Roman" w:eastAsia="方正仿宋_GBK" w:cs="Times New Roman"/>
          <w:b/>
          <w:sz w:val="28"/>
          <w:szCs w:val="24"/>
        </w:rPr>
        <w:instrText xml:space="preserve">17、远程教育工作经费绩效目标表</w:instrText>
      </w:r>
      <w:bookmarkEnd w:id="17"/>
      <w:r>
        <w:rPr>
          <w:rFonts w:hint="eastAsia" w:ascii="方正仿宋_GBK" w:hAnsi="Times New Roman" w:eastAsia="方正仿宋_GBK" w:cs="Times New Roman"/>
          <w:b/>
          <w:sz w:val="28"/>
          <w:szCs w:val="24"/>
        </w:rPr>
        <w:instrText xml:space="preserve">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7"/>
        <w:tblW w:w="12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20"/>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20" w:type="dxa"/>
            <w:tcBorders>
              <w:bottom w:val="nil"/>
            </w:tcBorders>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1、保持全市402个远程教育终端站点的正常运转。</w:t>
            </w:r>
          </w:p>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2、开展党建专题片制作，提升基层党建工作能力。</w:t>
            </w:r>
          </w:p>
        </w:tc>
      </w:tr>
    </w:tbl>
    <w:p>
      <w:pPr>
        <w:spacing w:line="14" w:lineRule="exact"/>
        <w:ind w:firstLine="420" w:firstLineChars="200"/>
        <w:jc w:val="center"/>
        <w:rPr>
          <w:rFonts w:ascii="Times New Roman" w:hAnsi="宋体" w:eastAsia="宋体" w:cs="Times New Roman"/>
          <w:szCs w:val="24"/>
        </w:rPr>
      </w:pPr>
      <w:r>
        <w:rPr>
          <w:rFonts w:ascii="方正书宋_GBK" w:hAnsi="Times New Roman" w:eastAsia="方正书宋_GBK" w:cs="Times New Roman"/>
          <w:szCs w:val="24"/>
        </w:rPr>
        <w:t xml:space="preserve"> </w:t>
      </w:r>
    </w:p>
    <w:tbl>
      <w:tblPr>
        <w:tblStyle w:val="7"/>
        <w:tblW w:w="1210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30"/>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830"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30" w:type="dxa"/>
            <w:vMerge w:val="restart"/>
            <w:shd w:val="clear" w:color="auto" w:fill="auto"/>
            <w:noWrap w:val="0"/>
            <w:vAlign w:val="center"/>
          </w:tcPr>
          <w:p>
            <w:pPr>
              <w:spacing w:line="300" w:lineRule="exact"/>
              <w:jc w:val="center"/>
              <w:rPr>
                <w:rFonts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远程终端站点开通个数</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远程终端站点开通的数量</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402个</w:t>
            </w:r>
          </w:p>
        </w:tc>
        <w:tc>
          <w:tcPr>
            <w:tcW w:w="170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30"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终端站点故障率</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远程站点终端服务正常运行情况</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≤20%</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30"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制作党建专题片个数</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制作党建专题片个数</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1个</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30"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效果指标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可持续影响指标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工作能力提升情况</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通过终端学习农村干部党员履职尽职能力提升情况</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提升</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30"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基层党员干部满意度</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基层党员干部对项目实施满意程度</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≤100%</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rPr>
          <w:rFonts w:ascii="Times New Roman" w:hAnsi="Times New Roman" w:eastAsia="宋体" w:cs="Times New Roman"/>
          <w:szCs w:val="24"/>
        </w:rPr>
      </w:pPr>
    </w:p>
    <w:p>
      <w:pPr>
        <w:ind w:firstLine="560" w:firstLineChars="200"/>
        <w:jc w:val="left"/>
        <w:outlineLvl w:val="1"/>
        <w:rPr>
          <w:rFonts w:ascii="Times New Roman" w:hAnsi="宋体" w:eastAsia="宋体" w:cs="Times New Roman"/>
          <w:b/>
          <w:sz w:val="28"/>
          <w:szCs w:val="24"/>
        </w:rPr>
      </w:pPr>
      <w:r>
        <w:rPr>
          <w:rFonts w:hint="eastAsia" w:ascii="方正仿宋_GBK" w:hAnsi="Times New Roman" w:eastAsia="方正仿宋_GBK" w:cs="Times New Roman"/>
          <w:b/>
          <w:sz w:val="28"/>
          <w:szCs w:val="24"/>
        </w:rPr>
        <w:t>18、在任村党组织书记、村主任养老保险绩效目标表</w:t>
      </w:r>
      <w:r>
        <w:rPr>
          <w:rFonts w:ascii="Times New Roman" w:hAnsi="Times New Roman" w:eastAsia="宋体"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w:instrText>
      </w:r>
      <w:bookmarkStart w:id="18" w:name="_Toc30520553"/>
      <w:r>
        <w:rPr>
          <w:rFonts w:hint="eastAsia" w:ascii="方正仿宋_GBK" w:hAnsi="Times New Roman" w:eastAsia="方正仿宋_GBK" w:cs="Times New Roman"/>
          <w:b/>
          <w:sz w:val="28"/>
          <w:szCs w:val="24"/>
        </w:rPr>
        <w:instrText xml:space="preserve">18、在任村党组织书记、村主任养老保险绩效目标表</w:instrText>
      </w:r>
      <w:bookmarkEnd w:id="18"/>
      <w:r>
        <w:rPr>
          <w:rFonts w:hint="eastAsia" w:ascii="方正仿宋_GBK" w:hAnsi="Times New Roman" w:eastAsia="方正仿宋_GBK" w:cs="Times New Roman"/>
          <w:b/>
          <w:sz w:val="28"/>
          <w:szCs w:val="24"/>
        </w:rPr>
        <w:instrText xml:space="preserve">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7"/>
        <w:tblW w:w="119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83"/>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3" w:type="dxa"/>
            <w:tcBorders>
              <w:bottom w:val="nil"/>
            </w:tcBorders>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1、按标准缴纳养老保险，按保险所提供标准足额缴纳村党组织书记、村主任458人保险到养老保险所。保障村党组织书记、村主任养老问题。</w:t>
            </w:r>
          </w:p>
        </w:tc>
      </w:tr>
    </w:tbl>
    <w:p>
      <w:pPr>
        <w:spacing w:line="14" w:lineRule="exact"/>
        <w:ind w:firstLine="420" w:firstLineChars="200"/>
        <w:jc w:val="center"/>
        <w:rPr>
          <w:rFonts w:ascii="Times New Roman" w:hAnsi="宋体" w:eastAsia="宋体" w:cs="Times New Roman"/>
          <w:szCs w:val="24"/>
        </w:rPr>
      </w:pPr>
      <w:r>
        <w:rPr>
          <w:rFonts w:ascii="方正书宋_GBK" w:hAnsi="Times New Roman" w:eastAsia="方正书宋_GBK" w:cs="Times New Roman"/>
          <w:szCs w:val="24"/>
        </w:rPr>
        <w:t xml:space="preserve"> </w:t>
      </w:r>
    </w:p>
    <w:tbl>
      <w:tblPr>
        <w:tblStyle w:val="7"/>
        <w:tblW w:w="119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77"/>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677"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77" w:type="dxa"/>
            <w:vMerge w:val="restart"/>
            <w:shd w:val="clear" w:color="auto" w:fill="auto"/>
            <w:noWrap w:val="0"/>
            <w:vAlign w:val="center"/>
          </w:tcPr>
          <w:p>
            <w:pPr>
              <w:spacing w:line="300" w:lineRule="exact"/>
              <w:jc w:val="center"/>
              <w:rPr>
                <w:rFonts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补助金发放及时率（%）</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实际发放的补助金额占计划发放金额的比率</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ascii="方正书宋_GBK" w:hAnsi="Times New Roman" w:eastAsia="方正书宋_GBK" w:cs="Times New Roman"/>
                <w:szCs w:val="24"/>
              </w:rPr>
              <w:t>100%</w:t>
            </w:r>
          </w:p>
        </w:tc>
        <w:tc>
          <w:tcPr>
            <w:tcW w:w="170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77"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养老保险缴纳人数</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养老保险缴纳人数</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458人</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77"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效果指标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保障村党组织书记、村主任养老问题</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通过缴纳养老保险保障村党组织书记、村主任养老问题</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保障</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77"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在任村党组书记、村主任满意度(%)</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通过问卷调查，在任村党组书记、村主任满意和较满意的受益对象占全部调研对象的比例</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≥90%</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rPr>
          <w:rFonts w:ascii="Times New Roman" w:hAnsi="Times New Roman" w:eastAsia="宋体" w:cs="Times New Roman"/>
          <w:szCs w:val="24"/>
        </w:rPr>
      </w:pPr>
    </w:p>
    <w:p>
      <w:pPr>
        <w:ind w:firstLine="560" w:firstLineChars="200"/>
        <w:jc w:val="left"/>
        <w:outlineLvl w:val="1"/>
        <w:rPr>
          <w:rFonts w:ascii="Times New Roman" w:hAnsi="宋体" w:eastAsia="宋体" w:cs="Times New Roman"/>
          <w:b/>
          <w:sz w:val="28"/>
          <w:szCs w:val="24"/>
        </w:rPr>
      </w:pPr>
      <w:r>
        <w:rPr>
          <w:rFonts w:hint="eastAsia" w:ascii="方正仿宋_GBK" w:hAnsi="Times New Roman" w:eastAsia="方正仿宋_GBK" w:cs="Times New Roman"/>
          <w:b/>
          <w:sz w:val="28"/>
          <w:szCs w:val="24"/>
        </w:rPr>
        <w:t>19、正常离任村党组织书记、村主任生活补贴绩效目标表</w:t>
      </w:r>
      <w:r>
        <w:rPr>
          <w:rFonts w:ascii="Times New Roman" w:hAnsi="Times New Roman" w:eastAsia="宋体"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w:instrText>
      </w:r>
      <w:bookmarkStart w:id="19" w:name="_Toc30520554"/>
      <w:r>
        <w:rPr>
          <w:rFonts w:hint="eastAsia" w:ascii="方正仿宋_GBK" w:hAnsi="Times New Roman" w:eastAsia="方正仿宋_GBK" w:cs="Times New Roman"/>
          <w:b/>
          <w:sz w:val="28"/>
          <w:szCs w:val="24"/>
        </w:rPr>
        <w:instrText xml:space="preserve">19、正常离任村党组织书记、村主任生活补贴绩效目标表</w:instrText>
      </w:r>
      <w:bookmarkEnd w:id="19"/>
      <w:r>
        <w:rPr>
          <w:rFonts w:hint="eastAsia" w:ascii="方正仿宋_GBK" w:hAnsi="Times New Roman" w:eastAsia="方正仿宋_GBK" w:cs="Times New Roman"/>
          <w:b/>
          <w:sz w:val="28"/>
          <w:szCs w:val="24"/>
        </w:rPr>
        <w:instrText xml:space="preserve">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7"/>
        <w:tblW w:w="122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97"/>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97" w:type="dxa"/>
            <w:tcBorders>
              <w:bottom w:val="nil"/>
            </w:tcBorders>
            <w:shd w:val="clear" w:color="auto" w:fill="auto"/>
            <w:noWrap w:val="0"/>
            <w:vAlign w:val="center"/>
          </w:tcPr>
          <w:p>
            <w:pPr>
              <w:spacing w:line="300" w:lineRule="exact"/>
              <w:jc w:val="center"/>
              <w:rPr>
                <w:rFonts w:ascii="方正书宋_GBK" w:hAnsi="Times New Roman" w:eastAsia="方正书宋_GBK" w:cs="Times New Roman"/>
                <w:b/>
                <w:szCs w:val="24"/>
              </w:rPr>
            </w:pPr>
            <w:bookmarkStart w:id="21" w:name="_GoBack"/>
            <w:bookmarkEnd w:id="21"/>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1、补助正常离任村党组织书记、村委会主任约990人。保障正常离任村党组织书记、村委会主任生活需要。</w:t>
            </w:r>
          </w:p>
        </w:tc>
      </w:tr>
    </w:tbl>
    <w:p>
      <w:pPr>
        <w:spacing w:line="14" w:lineRule="exact"/>
        <w:ind w:firstLine="420" w:firstLineChars="200"/>
        <w:jc w:val="center"/>
        <w:rPr>
          <w:rFonts w:ascii="Times New Roman" w:hAnsi="宋体" w:eastAsia="宋体" w:cs="Times New Roman"/>
          <w:szCs w:val="24"/>
        </w:rPr>
      </w:pPr>
      <w:r>
        <w:rPr>
          <w:rFonts w:ascii="方正书宋_GBK" w:hAnsi="Times New Roman" w:eastAsia="方正书宋_GBK" w:cs="Times New Roman"/>
          <w:szCs w:val="24"/>
        </w:rPr>
        <w:t xml:space="preserve"> </w:t>
      </w:r>
    </w:p>
    <w:tbl>
      <w:tblPr>
        <w:tblStyle w:val="7"/>
        <w:tblW w:w="1228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09"/>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009"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09" w:type="dxa"/>
            <w:vMerge w:val="restart"/>
            <w:shd w:val="clear" w:color="auto" w:fill="auto"/>
            <w:noWrap w:val="0"/>
            <w:vAlign w:val="center"/>
          </w:tcPr>
          <w:p>
            <w:pPr>
              <w:spacing w:line="300" w:lineRule="exact"/>
              <w:jc w:val="center"/>
              <w:rPr>
                <w:rFonts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补助金发放及时率(%)</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实际发放的补助金金额占计划发放金额的比率</w:t>
            </w:r>
          </w:p>
        </w:tc>
        <w:tc>
          <w:tcPr>
            <w:tcW w:w="1276"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≤100%</w:t>
            </w:r>
          </w:p>
        </w:tc>
        <w:tc>
          <w:tcPr>
            <w:tcW w:w="170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09" w:type="dxa"/>
            <w:vMerge w:val="continue"/>
            <w:shd w:val="clear" w:color="auto" w:fill="auto"/>
            <w:noWrap w:val="0"/>
            <w:vAlign w:val="center"/>
          </w:tcPr>
          <w:p>
            <w:pPr>
              <w:spacing w:line="300" w:lineRule="exact"/>
              <w:jc w:val="center"/>
              <w:rPr>
                <w:rFonts w:hint="eastAsia" w:ascii="方正书宋_GBK" w:hAnsi="Times New Roman" w:eastAsia="方正书宋_GBK" w:cs="Times New Roman"/>
                <w:szCs w:val="24"/>
              </w:rPr>
            </w:pP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补助正常离任村党组织书记、村委会主任人数</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补助正常离任村党组织书记、村委会主任人数</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≤990人</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09"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效果指标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补助人群生活改善情况</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补助人群在生活、医疗、护理、教育等方面的改善情况</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完全改善</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09"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补贴的离任村党组织书记、村主任满意度(%)</w:t>
            </w:r>
          </w:p>
        </w:tc>
        <w:tc>
          <w:tcPr>
            <w:tcW w:w="289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通过问卷调查，所补贴离任村党组织书记、村主任对补助工作的满意程度</w:t>
            </w:r>
          </w:p>
        </w:tc>
        <w:tc>
          <w:tcPr>
            <w:tcW w:w="1276"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≥95%</w:t>
            </w:r>
          </w:p>
        </w:tc>
        <w:tc>
          <w:tcPr>
            <w:tcW w:w="170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bl>
    <w:p>
      <w:pPr>
        <w:ind w:firstLine="640" w:firstLineChars="200"/>
        <w:rPr>
          <w:rFonts w:ascii="黑体" w:hAnsi="黑体" w:eastAsia="黑体" w:cs="Times New Roman"/>
          <w:sz w:val="32"/>
          <w:szCs w:val="32"/>
          <w:highlight w:val="none"/>
        </w:rPr>
      </w:pPr>
      <w:r>
        <w:rPr>
          <w:rFonts w:hint="eastAsia" w:ascii="黑体" w:hAnsi="黑体" w:eastAsia="黑体" w:cs="Times New Roman"/>
          <w:sz w:val="32"/>
          <w:szCs w:val="32"/>
          <w:highlight w:val="none"/>
        </w:rPr>
        <w:t>六、政府采购预算情况</w:t>
      </w:r>
    </w:p>
    <w:p>
      <w:pPr>
        <w:ind w:firstLine="640" w:firstLineChars="200"/>
        <w:rPr>
          <w:rFonts w:ascii="仿宋_GB2312" w:hAnsi="Times New Roman" w:eastAsia="仿宋_GB2312" w:cs="Times New Roman"/>
          <w:color w:val="auto"/>
          <w:sz w:val="32"/>
          <w:szCs w:val="32"/>
          <w:highlight w:val="none"/>
        </w:rPr>
      </w:pPr>
      <w:bookmarkStart w:id="20" w:name="_Toc471398468"/>
      <w:r>
        <w:rPr>
          <w:rFonts w:hint="eastAsia" w:ascii="仿宋_GB2312" w:hAnsi="Times New Roman" w:eastAsia="仿宋_GB2312" w:cs="Times New Roman"/>
          <w:color w:val="auto"/>
          <w:sz w:val="32"/>
          <w:szCs w:val="32"/>
          <w:highlight w:val="none"/>
        </w:rPr>
        <w:t>2020年，我部门政府采购预算</w:t>
      </w:r>
      <w:r>
        <w:rPr>
          <w:rFonts w:hint="eastAsia" w:ascii="仿宋_GB2312" w:hAnsi="Times New Roman" w:eastAsia="仿宋_GB2312" w:cs="Times New Roman"/>
          <w:color w:val="auto"/>
          <w:sz w:val="32"/>
          <w:szCs w:val="32"/>
          <w:highlight w:val="none"/>
          <w:lang w:val="en-US" w:eastAsia="zh-CN"/>
        </w:rPr>
        <w:t>45.80万元</w:t>
      </w:r>
      <w:r>
        <w:rPr>
          <w:rFonts w:hint="eastAsia" w:ascii="仿宋_GB2312" w:hAnsi="Times New Roman" w:eastAsia="仿宋_GB2312" w:cs="Times New Roman"/>
          <w:color w:val="auto"/>
          <w:sz w:val="32"/>
          <w:szCs w:val="32"/>
          <w:highlight w:val="none"/>
        </w:rPr>
        <w:t>。具体内容见下表。</w:t>
      </w:r>
    </w:p>
    <w:p>
      <w:pPr>
        <w:jc w:val="center"/>
        <w:outlineLvl w:val="0"/>
        <w:rPr>
          <w:rFonts w:ascii="方正小标宋_GBK" w:hAnsi="Times New Roman" w:eastAsia="方正小标宋_GBK" w:cs="Times New Roman"/>
          <w:sz w:val="32"/>
          <w:szCs w:val="24"/>
          <w:highlight w:val="none"/>
        </w:rPr>
      </w:pPr>
      <w:r>
        <w:rPr>
          <w:rFonts w:hint="eastAsia" w:ascii="方正小标宋_GBK" w:hAnsi="Times New Roman" w:eastAsia="方正小标宋_GBK" w:cs="Times New Roman"/>
          <w:sz w:val="32"/>
          <w:szCs w:val="24"/>
          <w:highlight w:val="none"/>
        </w:rPr>
        <w:t>部门政府采购预算</w:t>
      </w:r>
      <w:bookmarkEnd w:id="20"/>
    </w:p>
    <w:tbl>
      <w:tblPr>
        <w:tblStyle w:val="7"/>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hAnsi="Times New Roman" w:eastAsia="方正小标宋_GBK" w:cs="Times New Roman"/>
                <w:sz w:val="24"/>
                <w:szCs w:val="24"/>
              </w:rPr>
            </w:pPr>
            <w:r>
              <w:rPr>
                <w:rFonts w:hint="eastAsia" w:ascii="方正小标宋_GBK" w:hAnsi="Times New Roman" w:eastAsia="方正小标宋_GBK" w:cs="Times New Roman"/>
                <w:sz w:val="24"/>
                <w:szCs w:val="24"/>
              </w:rPr>
              <w:t>12</w:t>
            </w:r>
            <w:r>
              <w:rPr>
                <w:rFonts w:hint="eastAsia" w:ascii="方正小标宋_GBK" w:hAnsi="Times New Roman" w:eastAsia="方正小标宋_GBK" w:cs="Times New Roman"/>
                <w:sz w:val="24"/>
                <w:szCs w:val="24"/>
                <w:lang w:val="en-US" w:eastAsia="zh-CN"/>
              </w:rPr>
              <w:t>7002</w:t>
            </w:r>
            <w:r>
              <w:rPr>
                <w:rFonts w:hint="eastAsia" w:ascii="方正小标宋_GBK" w:hAnsi="Times New Roman" w:eastAsia="方正小标宋_GBK" w:cs="Times New Roman"/>
                <w:sz w:val="24"/>
                <w:szCs w:val="24"/>
              </w:rPr>
              <w:t>中共霸州市委员会组织部</w:t>
            </w:r>
          </w:p>
        </w:tc>
        <w:tc>
          <w:tcPr>
            <w:tcW w:w="6804"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hAnsi="Times New Roman" w:eastAsia="方正书宋_GBK" w:cs="Times New Roman"/>
                <w:sz w:val="24"/>
                <w:szCs w:val="24"/>
              </w:rPr>
            </w:pPr>
            <w:r>
              <w:rPr>
                <w:rFonts w:hint="eastAsia" w:ascii="方正书宋_GBK" w:hAnsi="Times New Roman" w:eastAsia="方正书宋_GBK" w:cs="Times New Roman"/>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政府采购项目来源</w:t>
            </w:r>
          </w:p>
        </w:tc>
        <w:tc>
          <w:tcPr>
            <w:tcW w:w="1531" w:type="dxa"/>
            <w:vMerge w:val="restart"/>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采购物品名称</w:t>
            </w:r>
          </w:p>
        </w:tc>
        <w:tc>
          <w:tcPr>
            <w:tcW w:w="1531" w:type="dxa"/>
            <w:vMerge w:val="restart"/>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政府采购目录序号</w:t>
            </w:r>
          </w:p>
        </w:tc>
        <w:tc>
          <w:tcPr>
            <w:tcW w:w="709" w:type="dxa"/>
            <w:vMerge w:val="restart"/>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计量</w:t>
            </w:r>
            <w:r>
              <w:rPr>
                <w:rFonts w:ascii="方正书宋_GBK" w:hAnsi="Times New Roman" w:eastAsia="方正书宋_GBK" w:cs="Times New Roman"/>
                <w:b/>
                <w:szCs w:val="24"/>
              </w:rPr>
              <w:t xml:space="preserve">  </w:t>
            </w:r>
            <w:r>
              <w:rPr>
                <w:rFonts w:hint="eastAsia" w:ascii="方正书宋_GBK" w:hAnsi="Times New Roman" w:eastAsia="方正书宋_GBK" w:cs="Times New Roman"/>
                <w:b/>
                <w:szCs w:val="24"/>
              </w:rPr>
              <w:t>单位</w:t>
            </w:r>
          </w:p>
        </w:tc>
        <w:tc>
          <w:tcPr>
            <w:tcW w:w="907" w:type="dxa"/>
            <w:vMerge w:val="restart"/>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w:t>
            </w:r>
          </w:p>
        </w:tc>
        <w:tc>
          <w:tcPr>
            <w:tcW w:w="907" w:type="dxa"/>
            <w:vMerge w:val="restart"/>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单价</w:t>
            </w:r>
          </w:p>
        </w:tc>
        <w:tc>
          <w:tcPr>
            <w:tcW w:w="6804" w:type="dxa"/>
            <w:gridSpan w:val="6"/>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项目名称</w:t>
            </w:r>
          </w:p>
        </w:tc>
        <w:tc>
          <w:tcPr>
            <w:tcW w:w="1134"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预算资金</w:t>
            </w:r>
          </w:p>
        </w:tc>
        <w:tc>
          <w:tcPr>
            <w:tcW w:w="1531" w:type="dxa"/>
            <w:vMerge w:val="continue"/>
            <w:shd w:val="clear" w:color="auto" w:fill="auto"/>
            <w:noWrap w:val="0"/>
            <w:vAlign w:val="center"/>
          </w:tcPr>
          <w:p>
            <w:pPr>
              <w:spacing w:line="300" w:lineRule="exact"/>
              <w:jc w:val="left"/>
              <w:outlineLvl w:val="0"/>
              <w:rPr>
                <w:rFonts w:ascii="Times New Roman" w:hAnsi="Times New Roman" w:eastAsia="方正仿宋_GBK" w:cs="Times New Roman"/>
                <w:sz w:val="28"/>
                <w:szCs w:val="24"/>
              </w:rPr>
            </w:pPr>
          </w:p>
        </w:tc>
        <w:tc>
          <w:tcPr>
            <w:tcW w:w="1531" w:type="dxa"/>
            <w:vMerge w:val="continue"/>
            <w:shd w:val="clear" w:color="auto" w:fill="auto"/>
            <w:noWrap w:val="0"/>
            <w:vAlign w:val="center"/>
          </w:tcPr>
          <w:p>
            <w:pPr>
              <w:spacing w:line="300" w:lineRule="exact"/>
              <w:jc w:val="left"/>
              <w:outlineLvl w:val="0"/>
              <w:rPr>
                <w:rFonts w:ascii="Times New Roman" w:hAnsi="Times New Roman" w:eastAsia="方正仿宋_GBK" w:cs="Times New Roman"/>
                <w:sz w:val="28"/>
                <w:szCs w:val="24"/>
              </w:rPr>
            </w:pPr>
          </w:p>
        </w:tc>
        <w:tc>
          <w:tcPr>
            <w:tcW w:w="709" w:type="dxa"/>
            <w:vMerge w:val="continue"/>
            <w:shd w:val="clear" w:color="auto" w:fill="auto"/>
            <w:noWrap w:val="0"/>
            <w:vAlign w:val="center"/>
          </w:tcPr>
          <w:p>
            <w:pPr>
              <w:spacing w:line="300" w:lineRule="exact"/>
              <w:jc w:val="left"/>
              <w:outlineLvl w:val="0"/>
              <w:rPr>
                <w:rFonts w:ascii="Times New Roman" w:hAnsi="Times New Roman" w:eastAsia="方正仿宋_GBK" w:cs="Times New Roman"/>
                <w:sz w:val="28"/>
                <w:szCs w:val="24"/>
              </w:rPr>
            </w:pPr>
          </w:p>
        </w:tc>
        <w:tc>
          <w:tcPr>
            <w:tcW w:w="907" w:type="dxa"/>
            <w:vMerge w:val="continue"/>
            <w:shd w:val="clear" w:color="auto" w:fill="auto"/>
            <w:noWrap w:val="0"/>
            <w:vAlign w:val="center"/>
          </w:tcPr>
          <w:p>
            <w:pPr>
              <w:spacing w:line="300" w:lineRule="exact"/>
              <w:jc w:val="left"/>
              <w:outlineLvl w:val="0"/>
              <w:rPr>
                <w:rFonts w:ascii="Times New Roman" w:hAnsi="Times New Roman" w:eastAsia="方正仿宋_GBK" w:cs="Times New Roman"/>
                <w:sz w:val="28"/>
                <w:szCs w:val="24"/>
              </w:rPr>
            </w:pPr>
          </w:p>
        </w:tc>
        <w:tc>
          <w:tcPr>
            <w:tcW w:w="907" w:type="dxa"/>
            <w:vMerge w:val="continue"/>
            <w:shd w:val="clear" w:color="auto" w:fill="auto"/>
            <w:noWrap w:val="0"/>
            <w:vAlign w:val="center"/>
          </w:tcPr>
          <w:p>
            <w:pPr>
              <w:spacing w:line="300" w:lineRule="exact"/>
              <w:jc w:val="left"/>
              <w:outlineLvl w:val="0"/>
              <w:rPr>
                <w:rFonts w:ascii="Times New Roman" w:hAnsi="Times New Roman" w:eastAsia="方正仿宋_GBK" w:cs="Times New Roman"/>
                <w:sz w:val="28"/>
                <w:szCs w:val="24"/>
              </w:rPr>
            </w:pPr>
          </w:p>
        </w:tc>
        <w:tc>
          <w:tcPr>
            <w:tcW w:w="1134"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合计</w:t>
            </w:r>
          </w:p>
        </w:tc>
        <w:tc>
          <w:tcPr>
            <w:tcW w:w="1134"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一般公共预算拨款</w:t>
            </w:r>
          </w:p>
        </w:tc>
        <w:tc>
          <w:tcPr>
            <w:tcW w:w="1134"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基金预算拨款</w:t>
            </w:r>
          </w:p>
        </w:tc>
        <w:tc>
          <w:tcPr>
            <w:tcW w:w="1134"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国有资本经营预算拨款</w:t>
            </w:r>
          </w:p>
        </w:tc>
        <w:tc>
          <w:tcPr>
            <w:tcW w:w="1134"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财政专户核拨</w:t>
            </w:r>
          </w:p>
        </w:tc>
        <w:tc>
          <w:tcPr>
            <w:tcW w:w="1134"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中共霸州市委员会组织部小计</w:t>
            </w:r>
          </w:p>
        </w:tc>
        <w:tc>
          <w:tcPr>
            <w:tcW w:w="1134" w:type="dxa"/>
            <w:shd w:val="clear" w:color="auto" w:fill="auto"/>
            <w:noWrap w:val="0"/>
            <w:vAlign w:val="center"/>
          </w:tcPr>
          <w:p>
            <w:pPr>
              <w:spacing w:line="300" w:lineRule="exact"/>
              <w:jc w:val="right"/>
              <w:rPr>
                <w:rFonts w:ascii="方正书宋_GBK" w:hAnsi="Times New Roman" w:eastAsia="方正书宋_GBK" w:cs="Times New Roman"/>
                <w:b/>
                <w:szCs w:val="24"/>
              </w:rPr>
            </w:pPr>
          </w:p>
        </w:tc>
        <w:tc>
          <w:tcPr>
            <w:tcW w:w="1531" w:type="dxa"/>
            <w:shd w:val="clear" w:color="auto" w:fill="auto"/>
            <w:noWrap w:val="0"/>
            <w:vAlign w:val="center"/>
          </w:tcPr>
          <w:p>
            <w:pPr>
              <w:spacing w:line="300" w:lineRule="exact"/>
              <w:jc w:val="left"/>
              <w:rPr>
                <w:rFonts w:ascii="方正书宋_GBK" w:hAnsi="Times New Roman" w:eastAsia="方正书宋_GBK" w:cs="Times New Roman"/>
                <w:b/>
                <w:szCs w:val="24"/>
              </w:rPr>
            </w:pPr>
          </w:p>
        </w:tc>
        <w:tc>
          <w:tcPr>
            <w:tcW w:w="1531" w:type="dxa"/>
            <w:shd w:val="clear" w:color="auto" w:fill="auto"/>
            <w:noWrap w:val="0"/>
            <w:vAlign w:val="center"/>
          </w:tcPr>
          <w:p>
            <w:pPr>
              <w:spacing w:line="300" w:lineRule="exact"/>
              <w:jc w:val="left"/>
              <w:rPr>
                <w:rFonts w:ascii="方正书宋_GBK" w:hAnsi="Times New Roman" w:eastAsia="方正书宋_GBK" w:cs="Times New Roman"/>
                <w:b/>
                <w:szCs w:val="24"/>
              </w:rPr>
            </w:pPr>
          </w:p>
        </w:tc>
        <w:tc>
          <w:tcPr>
            <w:tcW w:w="709" w:type="dxa"/>
            <w:shd w:val="clear" w:color="auto" w:fill="auto"/>
            <w:noWrap w:val="0"/>
            <w:vAlign w:val="center"/>
          </w:tcPr>
          <w:p>
            <w:pPr>
              <w:spacing w:line="300" w:lineRule="exact"/>
              <w:jc w:val="center"/>
              <w:rPr>
                <w:rFonts w:ascii="方正书宋_GBK" w:hAnsi="Times New Roman" w:eastAsia="方正书宋_GBK" w:cs="Times New Roman"/>
                <w:b/>
                <w:szCs w:val="24"/>
              </w:rPr>
            </w:pPr>
          </w:p>
        </w:tc>
        <w:tc>
          <w:tcPr>
            <w:tcW w:w="907" w:type="dxa"/>
            <w:shd w:val="clear" w:color="auto" w:fill="auto"/>
            <w:noWrap w:val="0"/>
            <w:vAlign w:val="center"/>
          </w:tcPr>
          <w:p>
            <w:pPr>
              <w:spacing w:line="300" w:lineRule="exact"/>
              <w:jc w:val="right"/>
              <w:rPr>
                <w:rFonts w:ascii="方正书宋_GBK" w:hAnsi="Times New Roman" w:eastAsia="方正书宋_GBK" w:cs="Times New Roman"/>
                <w:b/>
                <w:szCs w:val="24"/>
              </w:rPr>
            </w:pPr>
          </w:p>
        </w:tc>
        <w:tc>
          <w:tcPr>
            <w:tcW w:w="907" w:type="dxa"/>
            <w:shd w:val="clear" w:color="auto" w:fill="auto"/>
            <w:noWrap w:val="0"/>
            <w:vAlign w:val="center"/>
          </w:tcPr>
          <w:p>
            <w:pPr>
              <w:spacing w:line="300" w:lineRule="exact"/>
              <w:jc w:val="right"/>
              <w:rPr>
                <w:rFonts w:ascii="方正书宋_GBK" w:hAnsi="Times New Roman" w:eastAsia="方正书宋_GBK" w:cs="Times New Roman"/>
                <w:b/>
                <w:szCs w:val="24"/>
              </w:rPr>
            </w:pPr>
          </w:p>
        </w:tc>
        <w:tc>
          <w:tcPr>
            <w:tcW w:w="1134" w:type="dxa"/>
            <w:shd w:val="clear" w:color="auto" w:fill="auto"/>
            <w:noWrap w:val="0"/>
            <w:vAlign w:val="center"/>
          </w:tcPr>
          <w:p>
            <w:pPr>
              <w:spacing w:line="300" w:lineRule="exact"/>
              <w:jc w:val="right"/>
              <w:rPr>
                <w:rFonts w:ascii="方正书宋_GBK" w:hAnsi="Times New Roman" w:eastAsia="方正书宋_GBK" w:cs="Times New Roman"/>
                <w:b/>
                <w:szCs w:val="24"/>
              </w:rPr>
            </w:pPr>
            <w:r>
              <w:rPr>
                <w:rFonts w:ascii="方正书宋_GBK" w:hAnsi="Times New Roman" w:eastAsia="方正书宋_GBK" w:cs="Times New Roman"/>
                <w:b/>
                <w:szCs w:val="24"/>
              </w:rPr>
              <w:t>45.80</w:t>
            </w:r>
          </w:p>
        </w:tc>
        <w:tc>
          <w:tcPr>
            <w:tcW w:w="1134" w:type="dxa"/>
            <w:shd w:val="clear" w:color="auto" w:fill="auto"/>
            <w:noWrap w:val="0"/>
            <w:vAlign w:val="center"/>
          </w:tcPr>
          <w:p>
            <w:pPr>
              <w:spacing w:line="300" w:lineRule="exact"/>
              <w:jc w:val="right"/>
              <w:rPr>
                <w:rFonts w:ascii="方正书宋_GBK" w:hAnsi="Times New Roman" w:eastAsia="方正书宋_GBK" w:cs="Times New Roman"/>
                <w:b/>
                <w:szCs w:val="24"/>
              </w:rPr>
            </w:pPr>
            <w:r>
              <w:rPr>
                <w:rFonts w:ascii="方正书宋_GBK" w:hAnsi="Times New Roman" w:eastAsia="方正书宋_GBK" w:cs="Times New Roman"/>
                <w:b/>
                <w:szCs w:val="24"/>
              </w:rPr>
              <w:t>45.80</w:t>
            </w:r>
          </w:p>
        </w:tc>
        <w:tc>
          <w:tcPr>
            <w:tcW w:w="1134" w:type="dxa"/>
            <w:shd w:val="clear" w:color="auto" w:fill="auto"/>
            <w:noWrap w:val="0"/>
            <w:vAlign w:val="center"/>
          </w:tcPr>
          <w:p>
            <w:pPr>
              <w:spacing w:line="300" w:lineRule="exact"/>
              <w:jc w:val="right"/>
              <w:rPr>
                <w:rFonts w:ascii="方正书宋_GBK" w:hAnsi="Times New Roman" w:eastAsia="方正书宋_GBK" w:cs="Times New Roman"/>
                <w:b/>
                <w:szCs w:val="24"/>
              </w:rPr>
            </w:pPr>
          </w:p>
        </w:tc>
        <w:tc>
          <w:tcPr>
            <w:tcW w:w="1134" w:type="dxa"/>
            <w:shd w:val="clear" w:color="auto" w:fill="auto"/>
            <w:noWrap w:val="0"/>
            <w:vAlign w:val="center"/>
          </w:tcPr>
          <w:p>
            <w:pPr>
              <w:spacing w:line="300" w:lineRule="exact"/>
              <w:jc w:val="right"/>
              <w:rPr>
                <w:rFonts w:ascii="方正书宋_GBK" w:hAnsi="Times New Roman" w:eastAsia="方正书宋_GBK" w:cs="Times New Roman"/>
                <w:b/>
                <w:szCs w:val="24"/>
              </w:rPr>
            </w:pPr>
          </w:p>
        </w:tc>
        <w:tc>
          <w:tcPr>
            <w:tcW w:w="1134" w:type="dxa"/>
            <w:shd w:val="clear" w:color="auto" w:fill="auto"/>
            <w:noWrap w:val="0"/>
            <w:vAlign w:val="center"/>
          </w:tcPr>
          <w:p>
            <w:pPr>
              <w:spacing w:line="300" w:lineRule="exact"/>
              <w:jc w:val="right"/>
              <w:rPr>
                <w:rFonts w:ascii="方正书宋_GBK" w:hAnsi="Times New Roman" w:eastAsia="方正书宋_GBK" w:cs="Times New Roman"/>
                <w:b/>
                <w:szCs w:val="24"/>
              </w:rPr>
            </w:pPr>
          </w:p>
        </w:tc>
        <w:tc>
          <w:tcPr>
            <w:tcW w:w="1134" w:type="dxa"/>
            <w:shd w:val="clear" w:color="auto" w:fill="auto"/>
            <w:noWrap w:val="0"/>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远程教育工作经费</w:t>
            </w:r>
          </w:p>
        </w:tc>
        <w:tc>
          <w:tcPr>
            <w:tcW w:w="1134" w:type="dxa"/>
            <w:shd w:val="clear" w:color="auto" w:fill="auto"/>
            <w:noWrap w:val="0"/>
            <w:vAlign w:val="center"/>
          </w:tcPr>
          <w:p>
            <w:pPr>
              <w:spacing w:line="300" w:lineRule="exact"/>
              <w:jc w:val="right"/>
              <w:rPr>
                <w:rFonts w:ascii="方正书宋_GBK" w:hAnsi="Times New Roman" w:eastAsia="方正书宋_GBK" w:cs="Times New Roman"/>
                <w:szCs w:val="24"/>
              </w:rPr>
            </w:pPr>
            <w:r>
              <w:rPr>
                <w:rFonts w:ascii="方正书宋_GBK" w:hAnsi="Times New Roman" w:eastAsia="方正书宋_GBK" w:cs="Times New Roman"/>
                <w:szCs w:val="24"/>
              </w:rPr>
              <w:t>19.08</w:t>
            </w:r>
          </w:p>
        </w:tc>
        <w:tc>
          <w:tcPr>
            <w:tcW w:w="153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其他文化艺术服务</w:t>
            </w:r>
          </w:p>
        </w:tc>
        <w:tc>
          <w:tcPr>
            <w:tcW w:w="153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ascii="方正书宋_GBK" w:hAnsi="Times New Roman" w:eastAsia="方正书宋_GBK" w:cs="Times New Roman"/>
                <w:szCs w:val="24"/>
              </w:rPr>
              <w:t>C200399</w:t>
            </w:r>
          </w:p>
        </w:tc>
        <w:tc>
          <w:tcPr>
            <w:tcW w:w="709" w:type="dxa"/>
            <w:shd w:val="clear" w:color="auto" w:fill="auto"/>
            <w:noWrap w:val="0"/>
            <w:vAlign w:val="center"/>
          </w:tcPr>
          <w:p>
            <w:pPr>
              <w:spacing w:line="300" w:lineRule="exact"/>
              <w:jc w:val="center"/>
              <w:rPr>
                <w:rFonts w:ascii="方正书宋_GBK" w:hAnsi="Times New Roman" w:eastAsia="方正书宋_GBK" w:cs="Times New Roman"/>
                <w:szCs w:val="24"/>
              </w:rPr>
            </w:pPr>
            <w:r>
              <w:rPr>
                <w:rFonts w:hint="eastAsia" w:ascii="方正书宋_GBK" w:hAnsi="Times New Roman" w:eastAsia="方正书宋_GBK" w:cs="Times New Roman"/>
                <w:szCs w:val="24"/>
              </w:rPr>
              <w:t>批</w:t>
            </w:r>
          </w:p>
        </w:tc>
        <w:tc>
          <w:tcPr>
            <w:tcW w:w="907" w:type="dxa"/>
            <w:shd w:val="clear" w:color="auto" w:fill="auto"/>
            <w:noWrap w:val="0"/>
            <w:vAlign w:val="center"/>
          </w:tcPr>
          <w:p>
            <w:pPr>
              <w:spacing w:line="300" w:lineRule="exact"/>
              <w:jc w:val="right"/>
              <w:rPr>
                <w:rFonts w:ascii="方正书宋_GBK" w:hAnsi="Times New Roman" w:eastAsia="方正书宋_GBK" w:cs="Times New Roman"/>
                <w:szCs w:val="24"/>
              </w:rPr>
            </w:pPr>
            <w:r>
              <w:rPr>
                <w:rFonts w:ascii="方正书宋_GBK" w:hAnsi="Times New Roman" w:eastAsia="方正书宋_GBK" w:cs="Times New Roman"/>
                <w:szCs w:val="24"/>
              </w:rPr>
              <w:t>1.00</w:t>
            </w:r>
          </w:p>
        </w:tc>
        <w:tc>
          <w:tcPr>
            <w:tcW w:w="907" w:type="dxa"/>
            <w:shd w:val="clear" w:color="auto" w:fill="auto"/>
            <w:noWrap w:val="0"/>
            <w:vAlign w:val="center"/>
          </w:tcPr>
          <w:p>
            <w:pPr>
              <w:spacing w:line="300" w:lineRule="exact"/>
              <w:jc w:val="right"/>
              <w:rPr>
                <w:rFonts w:ascii="方正书宋_GBK" w:hAnsi="Times New Roman" w:eastAsia="方正书宋_GBK" w:cs="Times New Roman"/>
                <w:szCs w:val="24"/>
              </w:rPr>
            </w:pPr>
            <w:r>
              <w:rPr>
                <w:rFonts w:ascii="方正书宋_GBK" w:hAnsi="Times New Roman" w:eastAsia="方正书宋_GBK" w:cs="Times New Roman"/>
                <w:szCs w:val="24"/>
              </w:rPr>
              <w:t>3.00</w:t>
            </w:r>
          </w:p>
        </w:tc>
        <w:tc>
          <w:tcPr>
            <w:tcW w:w="1134" w:type="dxa"/>
            <w:shd w:val="clear" w:color="auto" w:fill="auto"/>
            <w:noWrap w:val="0"/>
            <w:vAlign w:val="center"/>
          </w:tcPr>
          <w:p>
            <w:pPr>
              <w:spacing w:line="300" w:lineRule="exact"/>
              <w:jc w:val="right"/>
              <w:rPr>
                <w:rFonts w:ascii="方正书宋_GBK" w:hAnsi="Times New Roman" w:eastAsia="方正书宋_GBK" w:cs="Times New Roman"/>
                <w:szCs w:val="24"/>
              </w:rPr>
            </w:pPr>
            <w:r>
              <w:rPr>
                <w:rFonts w:ascii="方正书宋_GBK" w:hAnsi="Times New Roman" w:eastAsia="方正书宋_GBK" w:cs="Times New Roman"/>
                <w:szCs w:val="24"/>
              </w:rPr>
              <w:t>3.00</w:t>
            </w:r>
          </w:p>
        </w:tc>
        <w:tc>
          <w:tcPr>
            <w:tcW w:w="1134" w:type="dxa"/>
            <w:shd w:val="clear" w:color="auto" w:fill="auto"/>
            <w:noWrap w:val="0"/>
            <w:vAlign w:val="center"/>
          </w:tcPr>
          <w:p>
            <w:pPr>
              <w:spacing w:line="300" w:lineRule="exact"/>
              <w:jc w:val="right"/>
              <w:rPr>
                <w:rFonts w:ascii="方正书宋_GBK" w:hAnsi="Times New Roman" w:eastAsia="方正书宋_GBK" w:cs="Times New Roman"/>
                <w:szCs w:val="24"/>
              </w:rPr>
            </w:pPr>
            <w:r>
              <w:rPr>
                <w:rFonts w:ascii="方正书宋_GBK" w:hAnsi="Times New Roman" w:eastAsia="方正书宋_GBK" w:cs="Times New Roman"/>
                <w:szCs w:val="24"/>
              </w:rPr>
              <w:t>3.00</w:t>
            </w:r>
          </w:p>
        </w:tc>
        <w:tc>
          <w:tcPr>
            <w:tcW w:w="1134" w:type="dxa"/>
            <w:shd w:val="clear" w:color="auto" w:fill="auto"/>
            <w:noWrap w:val="0"/>
            <w:vAlign w:val="center"/>
          </w:tcPr>
          <w:p>
            <w:pPr>
              <w:spacing w:line="300" w:lineRule="exact"/>
              <w:jc w:val="right"/>
              <w:rPr>
                <w:rFonts w:ascii="方正书宋_GBK" w:hAnsi="Times New Roman" w:eastAsia="方正书宋_GBK" w:cs="Times New Roman"/>
                <w:szCs w:val="24"/>
              </w:rPr>
            </w:pPr>
          </w:p>
        </w:tc>
        <w:tc>
          <w:tcPr>
            <w:tcW w:w="1134" w:type="dxa"/>
            <w:shd w:val="clear" w:color="auto" w:fill="auto"/>
            <w:noWrap w:val="0"/>
            <w:vAlign w:val="center"/>
          </w:tcPr>
          <w:p>
            <w:pPr>
              <w:spacing w:line="300" w:lineRule="exact"/>
              <w:jc w:val="right"/>
              <w:rPr>
                <w:rFonts w:ascii="方正书宋_GBK" w:hAnsi="Times New Roman" w:eastAsia="方正书宋_GBK" w:cs="Times New Roman"/>
                <w:szCs w:val="24"/>
              </w:rPr>
            </w:pPr>
          </w:p>
        </w:tc>
        <w:tc>
          <w:tcPr>
            <w:tcW w:w="1134" w:type="dxa"/>
            <w:shd w:val="clear" w:color="auto" w:fill="auto"/>
            <w:noWrap w:val="0"/>
            <w:vAlign w:val="center"/>
          </w:tcPr>
          <w:p>
            <w:pPr>
              <w:spacing w:line="300" w:lineRule="exact"/>
              <w:jc w:val="right"/>
              <w:rPr>
                <w:rFonts w:ascii="方正书宋_GBK" w:hAnsi="Times New Roman" w:eastAsia="方正书宋_GBK" w:cs="Times New Roman"/>
                <w:szCs w:val="24"/>
              </w:rPr>
            </w:pPr>
          </w:p>
        </w:tc>
        <w:tc>
          <w:tcPr>
            <w:tcW w:w="1134" w:type="dxa"/>
            <w:shd w:val="clear" w:color="auto" w:fill="auto"/>
            <w:noWrap w:val="0"/>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cs" w:ascii="方正书宋_GBK" w:hAnsi="Times New Roman" w:eastAsia="方正书宋_GBK" w:cs="Times New Roman"/>
                <w:szCs w:val="24"/>
              </w:rPr>
              <w:t>“</w:t>
            </w:r>
            <w:r>
              <w:rPr>
                <w:rFonts w:hint="eastAsia" w:ascii="方正书宋_GBK" w:hAnsi="Times New Roman" w:eastAsia="方正书宋_GBK" w:cs="Times New Roman"/>
                <w:szCs w:val="24"/>
              </w:rPr>
              <w:t>不忘初心、牢记使命</w:t>
            </w:r>
            <w:r>
              <w:rPr>
                <w:rFonts w:hint="cs" w:ascii="方正书宋_GBK" w:hAnsi="Times New Roman" w:eastAsia="方正书宋_GBK" w:cs="Times New Roman"/>
                <w:szCs w:val="24"/>
              </w:rPr>
              <w:t>”</w:t>
            </w:r>
            <w:r>
              <w:rPr>
                <w:rFonts w:hint="eastAsia" w:ascii="方正书宋_GBK" w:hAnsi="Times New Roman" w:eastAsia="方正书宋_GBK" w:cs="Times New Roman"/>
                <w:szCs w:val="24"/>
              </w:rPr>
              <w:t>主题教育专项经费</w:t>
            </w:r>
          </w:p>
        </w:tc>
        <w:tc>
          <w:tcPr>
            <w:tcW w:w="1134" w:type="dxa"/>
            <w:shd w:val="clear" w:color="auto" w:fill="auto"/>
            <w:noWrap w:val="0"/>
            <w:vAlign w:val="center"/>
          </w:tcPr>
          <w:p>
            <w:pPr>
              <w:spacing w:line="300" w:lineRule="exact"/>
              <w:jc w:val="right"/>
              <w:rPr>
                <w:rFonts w:ascii="方正书宋_GBK" w:hAnsi="Times New Roman" w:eastAsia="方正书宋_GBK" w:cs="Times New Roman"/>
                <w:szCs w:val="24"/>
              </w:rPr>
            </w:pPr>
            <w:r>
              <w:rPr>
                <w:rFonts w:ascii="方正书宋_GBK" w:hAnsi="Times New Roman" w:eastAsia="方正书宋_GBK" w:cs="Times New Roman"/>
                <w:szCs w:val="24"/>
              </w:rPr>
              <w:t>20.00</w:t>
            </w:r>
          </w:p>
        </w:tc>
        <w:tc>
          <w:tcPr>
            <w:tcW w:w="153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其他印刷服务</w:t>
            </w:r>
          </w:p>
        </w:tc>
        <w:tc>
          <w:tcPr>
            <w:tcW w:w="153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ascii="方正书宋_GBK" w:hAnsi="Times New Roman" w:eastAsia="方正书宋_GBK" w:cs="Times New Roman"/>
                <w:szCs w:val="24"/>
              </w:rPr>
              <w:t>C08140199</w:t>
            </w:r>
          </w:p>
        </w:tc>
        <w:tc>
          <w:tcPr>
            <w:tcW w:w="709"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批</w:t>
            </w:r>
          </w:p>
        </w:tc>
        <w:tc>
          <w:tcPr>
            <w:tcW w:w="907" w:type="dxa"/>
            <w:shd w:val="clear" w:color="auto" w:fill="auto"/>
            <w:noWrap w:val="0"/>
            <w:vAlign w:val="center"/>
          </w:tcPr>
          <w:p>
            <w:pPr>
              <w:spacing w:line="300" w:lineRule="exact"/>
              <w:jc w:val="right"/>
              <w:rPr>
                <w:rFonts w:ascii="方正书宋_GBK" w:hAnsi="Times New Roman" w:eastAsia="方正书宋_GBK" w:cs="Times New Roman"/>
                <w:szCs w:val="24"/>
              </w:rPr>
            </w:pPr>
            <w:r>
              <w:rPr>
                <w:rFonts w:ascii="方正书宋_GBK" w:hAnsi="Times New Roman" w:eastAsia="方正书宋_GBK" w:cs="Times New Roman"/>
                <w:szCs w:val="24"/>
              </w:rPr>
              <w:t>1.00</w:t>
            </w:r>
          </w:p>
        </w:tc>
        <w:tc>
          <w:tcPr>
            <w:tcW w:w="907" w:type="dxa"/>
            <w:shd w:val="clear" w:color="auto" w:fill="auto"/>
            <w:noWrap w:val="0"/>
            <w:vAlign w:val="center"/>
          </w:tcPr>
          <w:p>
            <w:pPr>
              <w:spacing w:line="300" w:lineRule="exact"/>
              <w:jc w:val="right"/>
              <w:rPr>
                <w:rFonts w:ascii="方正书宋_GBK" w:hAnsi="Times New Roman" w:eastAsia="方正书宋_GBK" w:cs="Times New Roman"/>
                <w:szCs w:val="24"/>
              </w:rPr>
            </w:pPr>
            <w:r>
              <w:rPr>
                <w:rFonts w:ascii="方正书宋_GBK" w:hAnsi="Times New Roman" w:eastAsia="方正书宋_GBK" w:cs="Times New Roman"/>
                <w:szCs w:val="24"/>
              </w:rPr>
              <w:t>14.00</w:t>
            </w:r>
          </w:p>
        </w:tc>
        <w:tc>
          <w:tcPr>
            <w:tcW w:w="1134" w:type="dxa"/>
            <w:shd w:val="clear" w:color="auto" w:fill="auto"/>
            <w:noWrap w:val="0"/>
            <w:vAlign w:val="center"/>
          </w:tcPr>
          <w:p>
            <w:pPr>
              <w:spacing w:line="300" w:lineRule="exact"/>
              <w:jc w:val="right"/>
              <w:rPr>
                <w:rFonts w:ascii="方正书宋_GBK" w:hAnsi="Times New Roman" w:eastAsia="方正书宋_GBK" w:cs="Times New Roman"/>
                <w:szCs w:val="24"/>
              </w:rPr>
            </w:pPr>
            <w:r>
              <w:rPr>
                <w:rFonts w:ascii="方正书宋_GBK" w:hAnsi="Times New Roman" w:eastAsia="方正书宋_GBK" w:cs="Times New Roman"/>
                <w:szCs w:val="24"/>
              </w:rPr>
              <w:t>14.00</w:t>
            </w:r>
          </w:p>
        </w:tc>
        <w:tc>
          <w:tcPr>
            <w:tcW w:w="1134" w:type="dxa"/>
            <w:shd w:val="clear" w:color="auto" w:fill="auto"/>
            <w:noWrap w:val="0"/>
            <w:vAlign w:val="center"/>
          </w:tcPr>
          <w:p>
            <w:pPr>
              <w:spacing w:line="300" w:lineRule="exact"/>
              <w:jc w:val="right"/>
              <w:rPr>
                <w:rFonts w:ascii="方正书宋_GBK" w:hAnsi="Times New Roman" w:eastAsia="方正书宋_GBK" w:cs="Times New Roman"/>
                <w:szCs w:val="24"/>
              </w:rPr>
            </w:pPr>
            <w:r>
              <w:rPr>
                <w:rFonts w:ascii="方正书宋_GBK" w:hAnsi="Times New Roman" w:eastAsia="方正书宋_GBK" w:cs="Times New Roman"/>
                <w:szCs w:val="24"/>
              </w:rPr>
              <w:t>14.00</w:t>
            </w:r>
          </w:p>
        </w:tc>
        <w:tc>
          <w:tcPr>
            <w:tcW w:w="1134" w:type="dxa"/>
            <w:shd w:val="clear" w:color="auto" w:fill="auto"/>
            <w:noWrap w:val="0"/>
            <w:vAlign w:val="center"/>
          </w:tcPr>
          <w:p>
            <w:pPr>
              <w:spacing w:line="300" w:lineRule="exact"/>
              <w:jc w:val="right"/>
              <w:rPr>
                <w:rFonts w:ascii="方正书宋_GBK" w:hAnsi="Times New Roman" w:eastAsia="方正书宋_GBK" w:cs="Times New Roman"/>
                <w:szCs w:val="24"/>
              </w:rPr>
            </w:pPr>
          </w:p>
        </w:tc>
        <w:tc>
          <w:tcPr>
            <w:tcW w:w="1134" w:type="dxa"/>
            <w:shd w:val="clear" w:color="auto" w:fill="auto"/>
            <w:noWrap w:val="0"/>
            <w:vAlign w:val="center"/>
          </w:tcPr>
          <w:p>
            <w:pPr>
              <w:spacing w:line="300" w:lineRule="exact"/>
              <w:jc w:val="right"/>
              <w:rPr>
                <w:rFonts w:ascii="方正书宋_GBK" w:hAnsi="Times New Roman" w:eastAsia="方正书宋_GBK" w:cs="Times New Roman"/>
                <w:szCs w:val="24"/>
              </w:rPr>
            </w:pPr>
          </w:p>
        </w:tc>
        <w:tc>
          <w:tcPr>
            <w:tcW w:w="1134" w:type="dxa"/>
            <w:shd w:val="clear" w:color="auto" w:fill="auto"/>
            <w:noWrap w:val="0"/>
            <w:vAlign w:val="center"/>
          </w:tcPr>
          <w:p>
            <w:pPr>
              <w:spacing w:line="300" w:lineRule="exact"/>
              <w:jc w:val="right"/>
              <w:rPr>
                <w:rFonts w:ascii="方正书宋_GBK" w:hAnsi="Times New Roman" w:eastAsia="方正书宋_GBK" w:cs="Times New Roman"/>
                <w:szCs w:val="24"/>
              </w:rPr>
            </w:pPr>
          </w:p>
        </w:tc>
        <w:tc>
          <w:tcPr>
            <w:tcW w:w="1134" w:type="dxa"/>
            <w:shd w:val="clear" w:color="auto" w:fill="auto"/>
            <w:noWrap w:val="0"/>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cs" w:ascii="方正书宋_GBK" w:hAnsi="Times New Roman" w:eastAsia="方正书宋_GBK" w:cs="Times New Roman"/>
                <w:szCs w:val="24"/>
              </w:rPr>
            </w:pPr>
            <w:r>
              <w:rPr>
                <w:rFonts w:hint="eastAsia" w:ascii="方正书宋_GBK" w:hAnsi="Times New Roman" w:eastAsia="方正书宋_GBK" w:cs="Times New Roman"/>
                <w:szCs w:val="24"/>
              </w:rPr>
              <w:t>离退休干部春节慰问经费</w:t>
            </w:r>
          </w:p>
        </w:tc>
        <w:tc>
          <w:tcPr>
            <w:tcW w:w="1134" w:type="dxa"/>
            <w:shd w:val="clear" w:color="auto" w:fill="auto"/>
            <w:noWrap w:val="0"/>
            <w:vAlign w:val="center"/>
          </w:tcPr>
          <w:p>
            <w:pPr>
              <w:spacing w:line="300" w:lineRule="exact"/>
              <w:jc w:val="right"/>
              <w:rPr>
                <w:rFonts w:ascii="方正书宋_GBK" w:hAnsi="Times New Roman" w:eastAsia="方正书宋_GBK" w:cs="Times New Roman"/>
                <w:szCs w:val="24"/>
              </w:rPr>
            </w:pPr>
            <w:r>
              <w:rPr>
                <w:rFonts w:ascii="方正书宋_GBK" w:hAnsi="Times New Roman" w:eastAsia="方正书宋_GBK" w:cs="Times New Roman"/>
                <w:szCs w:val="24"/>
              </w:rPr>
              <w:t>14.28</w:t>
            </w:r>
          </w:p>
        </w:tc>
        <w:tc>
          <w:tcPr>
            <w:tcW w:w="153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其他印刷服务</w:t>
            </w:r>
          </w:p>
        </w:tc>
        <w:tc>
          <w:tcPr>
            <w:tcW w:w="153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ascii="方正书宋_GBK" w:hAnsi="Times New Roman" w:eastAsia="方正书宋_GBK" w:cs="Times New Roman"/>
                <w:szCs w:val="24"/>
              </w:rPr>
              <w:t>C08140199</w:t>
            </w:r>
          </w:p>
        </w:tc>
        <w:tc>
          <w:tcPr>
            <w:tcW w:w="709"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批</w:t>
            </w:r>
          </w:p>
        </w:tc>
        <w:tc>
          <w:tcPr>
            <w:tcW w:w="907" w:type="dxa"/>
            <w:shd w:val="clear" w:color="auto" w:fill="auto"/>
            <w:noWrap w:val="0"/>
            <w:vAlign w:val="center"/>
          </w:tcPr>
          <w:p>
            <w:pPr>
              <w:spacing w:line="300" w:lineRule="exact"/>
              <w:jc w:val="right"/>
              <w:rPr>
                <w:rFonts w:ascii="方正书宋_GBK" w:hAnsi="Times New Roman" w:eastAsia="方正书宋_GBK" w:cs="Times New Roman"/>
                <w:szCs w:val="24"/>
              </w:rPr>
            </w:pPr>
            <w:r>
              <w:rPr>
                <w:rFonts w:ascii="方正书宋_GBK" w:hAnsi="Times New Roman" w:eastAsia="方正书宋_GBK" w:cs="Times New Roman"/>
                <w:szCs w:val="24"/>
              </w:rPr>
              <w:t>1.00</w:t>
            </w:r>
          </w:p>
        </w:tc>
        <w:tc>
          <w:tcPr>
            <w:tcW w:w="907" w:type="dxa"/>
            <w:shd w:val="clear" w:color="auto" w:fill="auto"/>
            <w:noWrap w:val="0"/>
            <w:vAlign w:val="center"/>
          </w:tcPr>
          <w:p>
            <w:pPr>
              <w:spacing w:line="300" w:lineRule="exact"/>
              <w:jc w:val="right"/>
              <w:rPr>
                <w:rFonts w:ascii="方正书宋_GBK" w:hAnsi="Times New Roman" w:eastAsia="方正书宋_GBK" w:cs="Times New Roman"/>
                <w:szCs w:val="24"/>
              </w:rPr>
            </w:pPr>
            <w:r>
              <w:rPr>
                <w:rFonts w:ascii="方正书宋_GBK" w:hAnsi="Times New Roman" w:eastAsia="方正书宋_GBK" w:cs="Times New Roman"/>
                <w:szCs w:val="24"/>
              </w:rPr>
              <w:t>1.80</w:t>
            </w:r>
          </w:p>
        </w:tc>
        <w:tc>
          <w:tcPr>
            <w:tcW w:w="1134" w:type="dxa"/>
            <w:shd w:val="clear" w:color="auto" w:fill="auto"/>
            <w:noWrap w:val="0"/>
            <w:vAlign w:val="center"/>
          </w:tcPr>
          <w:p>
            <w:pPr>
              <w:spacing w:line="300" w:lineRule="exact"/>
              <w:jc w:val="right"/>
              <w:rPr>
                <w:rFonts w:ascii="方正书宋_GBK" w:hAnsi="Times New Roman" w:eastAsia="方正书宋_GBK" w:cs="Times New Roman"/>
                <w:szCs w:val="24"/>
              </w:rPr>
            </w:pPr>
            <w:r>
              <w:rPr>
                <w:rFonts w:ascii="方正书宋_GBK" w:hAnsi="Times New Roman" w:eastAsia="方正书宋_GBK" w:cs="Times New Roman"/>
                <w:szCs w:val="24"/>
              </w:rPr>
              <w:t>1.80</w:t>
            </w:r>
          </w:p>
        </w:tc>
        <w:tc>
          <w:tcPr>
            <w:tcW w:w="1134" w:type="dxa"/>
            <w:shd w:val="clear" w:color="auto" w:fill="auto"/>
            <w:noWrap w:val="0"/>
            <w:vAlign w:val="center"/>
          </w:tcPr>
          <w:p>
            <w:pPr>
              <w:spacing w:line="300" w:lineRule="exact"/>
              <w:jc w:val="right"/>
              <w:rPr>
                <w:rFonts w:ascii="方正书宋_GBK" w:hAnsi="Times New Roman" w:eastAsia="方正书宋_GBK" w:cs="Times New Roman"/>
                <w:szCs w:val="24"/>
              </w:rPr>
            </w:pPr>
            <w:r>
              <w:rPr>
                <w:rFonts w:ascii="方正书宋_GBK" w:hAnsi="Times New Roman" w:eastAsia="方正书宋_GBK" w:cs="Times New Roman"/>
                <w:szCs w:val="24"/>
              </w:rPr>
              <w:t>1.80</w:t>
            </w:r>
          </w:p>
        </w:tc>
        <w:tc>
          <w:tcPr>
            <w:tcW w:w="1134" w:type="dxa"/>
            <w:shd w:val="clear" w:color="auto" w:fill="auto"/>
            <w:noWrap w:val="0"/>
            <w:vAlign w:val="center"/>
          </w:tcPr>
          <w:p>
            <w:pPr>
              <w:spacing w:line="300" w:lineRule="exact"/>
              <w:jc w:val="right"/>
              <w:rPr>
                <w:rFonts w:ascii="方正书宋_GBK" w:hAnsi="Times New Roman" w:eastAsia="方正书宋_GBK" w:cs="Times New Roman"/>
                <w:szCs w:val="24"/>
              </w:rPr>
            </w:pPr>
          </w:p>
        </w:tc>
        <w:tc>
          <w:tcPr>
            <w:tcW w:w="1134" w:type="dxa"/>
            <w:shd w:val="clear" w:color="auto" w:fill="auto"/>
            <w:noWrap w:val="0"/>
            <w:vAlign w:val="center"/>
          </w:tcPr>
          <w:p>
            <w:pPr>
              <w:spacing w:line="300" w:lineRule="exact"/>
              <w:jc w:val="right"/>
              <w:rPr>
                <w:rFonts w:ascii="方正书宋_GBK" w:hAnsi="Times New Roman" w:eastAsia="方正书宋_GBK" w:cs="Times New Roman"/>
                <w:szCs w:val="24"/>
              </w:rPr>
            </w:pPr>
          </w:p>
        </w:tc>
        <w:tc>
          <w:tcPr>
            <w:tcW w:w="1134" w:type="dxa"/>
            <w:shd w:val="clear" w:color="auto" w:fill="auto"/>
            <w:noWrap w:val="0"/>
            <w:vAlign w:val="center"/>
          </w:tcPr>
          <w:p>
            <w:pPr>
              <w:spacing w:line="300" w:lineRule="exact"/>
              <w:jc w:val="right"/>
              <w:rPr>
                <w:rFonts w:ascii="方正书宋_GBK" w:hAnsi="Times New Roman" w:eastAsia="方正书宋_GBK" w:cs="Times New Roman"/>
                <w:szCs w:val="24"/>
              </w:rPr>
            </w:pPr>
          </w:p>
        </w:tc>
        <w:tc>
          <w:tcPr>
            <w:tcW w:w="1134" w:type="dxa"/>
            <w:shd w:val="clear" w:color="auto" w:fill="auto"/>
            <w:noWrap w:val="0"/>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档案工作经费</w:t>
            </w:r>
          </w:p>
        </w:tc>
        <w:tc>
          <w:tcPr>
            <w:tcW w:w="1134" w:type="dxa"/>
            <w:shd w:val="clear" w:color="auto" w:fill="auto"/>
            <w:noWrap w:val="0"/>
            <w:vAlign w:val="center"/>
          </w:tcPr>
          <w:p>
            <w:pPr>
              <w:spacing w:line="300" w:lineRule="exact"/>
              <w:jc w:val="right"/>
              <w:rPr>
                <w:rFonts w:ascii="方正书宋_GBK" w:hAnsi="Times New Roman" w:eastAsia="方正书宋_GBK" w:cs="Times New Roman"/>
                <w:szCs w:val="24"/>
              </w:rPr>
            </w:pPr>
            <w:r>
              <w:rPr>
                <w:rFonts w:ascii="方正书宋_GBK" w:hAnsi="Times New Roman" w:eastAsia="方正书宋_GBK" w:cs="Times New Roman"/>
                <w:szCs w:val="24"/>
              </w:rPr>
              <w:t>27.00</w:t>
            </w:r>
          </w:p>
        </w:tc>
        <w:tc>
          <w:tcPr>
            <w:tcW w:w="1531" w:type="dxa"/>
            <w:shd w:val="clear" w:color="auto" w:fill="auto"/>
            <w:noWrap w:val="0"/>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其他印刷服务</w:t>
            </w:r>
          </w:p>
        </w:tc>
        <w:tc>
          <w:tcPr>
            <w:tcW w:w="1531" w:type="dxa"/>
            <w:shd w:val="clear" w:color="auto" w:fill="auto"/>
            <w:noWrap w:val="0"/>
            <w:vAlign w:val="center"/>
          </w:tcPr>
          <w:p>
            <w:pPr>
              <w:spacing w:line="300" w:lineRule="exact"/>
              <w:jc w:val="left"/>
              <w:rPr>
                <w:rFonts w:ascii="方正书宋_GBK" w:hAnsi="Times New Roman" w:eastAsia="方正书宋_GBK" w:cs="Times New Roman"/>
                <w:szCs w:val="24"/>
              </w:rPr>
            </w:pPr>
            <w:r>
              <w:rPr>
                <w:rFonts w:ascii="方正书宋_GBK" w:hAnsi="Times New Roman" w:eastAsia="方正书宋_GBK" w:cs="Times New Roman"/>
                <w:szCs w:val="24"/>
              </w:rPr>
              <w:t>C08140199</w:t>
            </w:r>
          </w:p>
        </w:tc>
        <w:tc>
          <w:tcPr>
            <w:tcW w:w="709" w:type="dxa"/>
            <w:shd w:val="clear" w:color="auto" w:fill="auto"/>
            <w:noWrap w:val="0"/>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批</w:t>
            </w:r>
          </w:p>
        </w:tc>
        <w:tc>
          <w:tcPr>
            <w:tcW w:w="907" w:type="dxa"/>
            <w:shd w:val="clear" w:color="auto" w:fill="auto"/>
            <w:noWrap w:val="0"/>
            <w:vAlign w:val="center"/>
          </w:tcPr>
          <w:p>
            <w:pPr>
              <w:spacing w:line="300" w:lineRule="exact"/>
              <w:jc w:val="right"/>
              <w:rPr>
                <w:rFonts w:ascii="方正书宋_GBK" w:hAnsi="Times New Roman" w:eastAsia="方正书宋_GBK" w:cs="Times New Roman"/>
                <w:szCs w:val="24"/>
              </w:rPr>
            </w:pPr>
            <w:r>
              <w:rPr>
                <w:rFonts w:ascii="方正书宋_GBK" w:hAnsi="Times New Roman" w:eastAsia="方正书宋_GBK" w:cs="Times New Roman"/>
                <w:szCs w:val="24"/>
              </w:rPr>
              <w:t>1.00</w:t>
            </w:r>
          </w:p>
        </w:tc>
        <w:tc>
          <w:tcPr>
            <w:tcW w:w="907" w:type="dxa"/>
            <w:shd w:val="clear" w:color="auto" w:fill="auto"/>
            <w:noWrap w:val="0"/>
            <w:vAlign w:val="center"/>
          </w:tcPr>
          <w:p>
            <w:pPr>
              <w:spacing w:line="300" w:lineRule="exact"/>
              <w:jc w:val="right"/>
              <w:rPr>
                <w:rFonts w:ascii="方正书宋_GBK" w:hAnsi="Times New Roman" w:eastAsia="方正书宋_GBK" w:cs="Times New Roman"/>
                <w:szCs w:val="24"/>
              </w:rPr>
            </w:pPr>
            <w:r>
              <w:rPr>
                <w:rFonts w:ascii="方正书宋_GBK" w:hAnsi="Times New Roman" w:eastAsia="方正书宋_GBK" w:cs="Times New Roman"/>
                <w:szCs w:val="24"/>
              </w:rPr>
              <w:t>27.00</w:t>
            </w:r>
          </w:p>
        </w:tc>
        <w:tc>
          <w:tcPr>
            <w:tcW w:w="1134" w:type="dxa"/>
            <w:shd w:val="clear" w:color="auto" w:fill="auto"/>
            <w:noWrap w:val="0"/>
            <w:vAlign w:val="center"/>
          </w:tcPr>
          <w:p>
            <w:pPr>
              <w:spacing w:line="300" w:lineRule="exact"/>
              <w:jc w:val="right"/>
              <w:rPr>
                <w:rFonts w:ascii="方正书宋_GBK" w:hAnsi="Times New Roman" w:eastAsia="方正书宋_GBK" w:cs="Times New Roman"/>
                <w:szCs w:val="24"/>
              </w:rPr>
            </w:pPr>
            <w:r>
              <w:rPr>
                <w:rFonts w:ascii="方正书宋_GBK" w:hAnsi="Times New Roman" w:eastAsia="方正书宋_GBK" w:cs="Times New Roman"/>
                <w:szCs w:val="24"/>
              </w:rPr>
              <w:t>27.00</w:t>
            </w:r>
          </w:p>
        </w:tc>
        <w:tc>
          <w:tcPr>
            <w:tcW w:w="1134" w:type="dxa"/>
            <w:shd w:val="clear" w:color="auto" w:fill="auto"/>
            <w:noWrap w:val="0"/>
            <w:vAlign w:val="center"/>
          </w:tcPr>
          <w:p>
            <w:pPr>
              <w:spacing w:line="300" w:lineRule="exact"/>
              <w:jc w:val="right"/>
              <w:rPr>
                <w:rFonts w:ascii="方正书宋_GBK" w:hAnsi="Times New Roman" w:eastAsia="方正书宋_GBK" w:cs="Times New Roman"/>
                <w:szCs w:val="24"/>
              </w:rPr>
            </w:pPr>
            <w:r>
              <w:rPr>
                <w:rFonts w:ascii="方正书宋_GBK" w:hAnsi="Times New Roman" w:eastAsia="方正书宋_GBK" w:cs="Times New Roman"/>
                <w:szCs w:val="24"/>
              </w:rPr>
              <w:t>27.00</w:t>
            </w:r>
          </w:p>
        </w:tc>
        <w:tc>
          <w:tcPr>
            <w:tcW w:w="1134" w:type="dxa"/>
            <w:shd w:val="clear" w:color="auto" w:fill="auto"/>
            <w:noWrap w:val="0"/>
            <w:vAlign w:val="center"/>
          </w:tcPr>
          <w:p>
            <w:pPr>
              <w:spacing w:line="300" w:lineRule="exact"/>
              <w:jc w:val="right"/>
              <w:rPr>
                <w:rFonts w:ascii="方正书宋_GBK" w:hAnsi="Times New Roman" w:eastAsia="方正书宋_GBK" w:cs="Times New Roman"/>
                <w:szCs w:val="24"/>
              </w:rPr>
            </w:pPr>
          </w:p>
        </w:tc>
        <w:tc>
          <w:tcPr>
            <w:tcW w:w="1134" w:type="dxa"/>
            <w:shd w:val="clear" w:color="auto" w:fill="auto"/>
            <w:noWrap w:val="0"/>
            <w:vAlign w:val="center"/>
          </w:tcPr>
          <w:p>
            <w:pPr>
              <w:spacing w:line="300" w:lineRule="exact"/>
              <w:jc w:val="right"/>
              <w:rPr>
                <w:rFonts w:ascii="方正书宋_GBK" w:hAnsi="Times New Roman" w:eastAsia="方正书宋_GBK" w:cs="Times New Roman"/>
                <w:szCs w:val="24"/>
              </w:rPr>
            </w:pPr>
          </w:p>
        </w:tc>
        <w:tc>
          <w:tcPr>
            <w:tcW w:w="1134" w:type="dxa"/>
            <w:shd w:val="clear" w:color="auto" w:fill="auto"/>
            <w:noWrap w:val="0"/>
            <w:vAlign w:val="center"/>
          </w:tcPr>
          <w:p>
            <w:pPr>
              <w:spacing w:line="300" w:lineRule="exact"/>
              <w:jc w:val="right"/>
              <w:rPr>
                <w:rFonts w:ascii="方正书宋_GBK" w:hAnsi="Times New Roman" w:eastAsia="方正书宋_GBK" w:cs="Times New Roman"/>
                <w:szCs w:val="24"/>
              </w:rPr>
            </w:pPr>
          </w:p>
        </w:tc>
        <w:tc>
          <w:tcPr>
            <w:tcW w:w="1134" w:type="dxa"/>
            <w:shd w:val="clear" w:color="auto" w:fill="auto"/>
            <w:noWrap w:val="0"/>
            <w:vAlign w:val="center"/>
          </w:tcPr>
          <w:p>
            <w:pPr>
              <w:spacing w:line="300" w:lineRule="exact"/>
              <w:jc w:val="right"/>
              <w:rPr>
                <w:rFonts w:ascii="方正书宋_GBK" w:hAnsi="Times New Roman" w:eastAsia="方正书宋_GBK" w:cs="Times New Roman"/>
                <w:szCs w:val="24"/>
              </w:rPr>
            </w:pPr>
          </w:p>
        </w:tc>
      </w:tr>
    </w:tbl>
    <w:p>
      <w:pPr>
        <w:ind w:firstLine="640" w:firstLineChars="200"/>
        <w:rPr>
          <w:rFonts w:ascii="黑体" w:hAnsi="黑体" w:eastAsia="黑体" w:cs="Times New Roman"/>
          <w:sz w:val="32"/>
          <w:szCs w:val="32"/>
          <w:highlight w:val="none"/>
        </w:rPr>
      </w:pPr>
      <w:r>
        <w:rPr>
          <w:rFonts w:hint="eastAsia" w:ascii="黑体" w:hAnsi="黑体" w:eastAsia="黑体" w:cs="Times New Roman"/>
          <w:sz w:val="32"/>
          <w:szCs w:val="32"/>
          <w:highlight w:val="none"/>
        </w:rPr>
        <w:t>七、国有资产信息</w:t>
      </w:r>
    </w:p>
    <w:p>
      <w:pPr>
        <w:ind w:firstLine="640" w:firstLineChars="200"/>
        <w:rPr>
          <w:rFonts w:ascii="仿宋_GB2312" w:hAnsi="Times New Roman" w:eastAsia="仿宋_GB2312" w:cs="Times New Roman"/>
          <w:b w:val="0"/>
          <w:bCs/>
          <w:color w:val="auto"/>
          <w:sz w:val="32"/>
          <w:szCs w:val="32"/>
          <w:highlight w:val="none"/>
        </w:rPr>
      </w:pPr>
      <w:r>
        <w:rPr>
          <w:rFonts w:hint="eastAsia" w:ascii="仿宋_GB2312" w:hAnsi="黑体" w:eastAsia="仿宋_GB2312" w:cs="Times New Roman"/>
          <w:sz w:val="32"/>
          <w:szCs w:val="32"/>
          <w:highlight w:val="none"/>
          <w:lang w:eastAsia="zh-CN"/>
        </w:rPr>
        <w:t>中共霸州市委员会组织部</w:t>
      </w:r>
      <w:r>
        <w:rPr>
          <w:rFonts w:hint="eastAsia" w:ascii="仿宋_GB2312" w:hAnsi="黑体" w:eastAsia="仿宋_GB2312" w:cs="Times New Roman"/>
          <w:sz w:val="32"/>
          <w:szCs w:val="32"/>
          <w:highlight w:val="none"/>
        </w:rPr>
        <w:t>上年末固定资产金额为</w:t>
      </w:r>
      <w:r>
        <w:rPr>
          <w:rFonts w:hint="eastAsia" w:ascii="仿宋_GB2312" w:hAnsi="黑体" w:eastAsia="仿宋_GB2312" w:cs="Times New Roman"/>
          <w:sz w:val="32"/>
          <w:szCs w:val="32"/>
          <w:highlight w:val="none"/>
          <w:lang w:val="en-US" w:eastAsia="zh-CN"/>
        </w:rPr>
        <w:t>161.508</w:t>
      </w:r>
      <w:r>
        <w:rPr>
          <w:rFonts w:hint="eastAsia" w:ascii="仿宋_GB2312" w:hAnsi="黑体" w:eastAsia="仿宋_GB2312" w:cs="Times New Roman"/>
          <w:sz w:val="32"/>
          <w:szCs w:val="32"/>
          <w:highlight w:val="none"/>
        </w:rPr>
        <w:t>万元（详见下表）。</w:t>
      </w:r>
      <w:r>
        <w:rPr>
          <w:rFonts w:ascii="仿宋_GB2312" w:hAnsi="黑体" w:eastAsia="仿宋_GB2312" w:cs="Times New Roman"/>
          <w:b w:val="0"/>
          <w:bCs/>
          <w:color w:val="auto"/>
          <w:sz w:val="32"/>
          <w:szCs w:val="32"/>
          <w:highlight w:val="none"/>
        </w:rPr>
        <w:t>2020</w:t>
      </w:r>
      <w:r>
        <w:rPr>
          <w:rFonts w:hint="eastAsia" w:ascii="仿宋_GB2312" w:hAnsi="黑体" w:eastAsia="仿宋_GB2312" w:cs="Times New Roman"/>
          <w:b w:val="0"/>
          <w:bCs/>
          <w:color w:val="auto"/>
          <w:sz w:val="32"/>
          <w:szCs w:val="32"/>
          <w:highlight w:val="none"/>
        </w:rPr>
        <w:t>年</w:t>
      </w:r>
      <w:r>
        <w:rPr>
          <w:rFonts w:ascii="仿宋_GB2312" w:hAnsi="黑体" w:eastAsia="仿宋_GB2312" w:cs="Times New Roman"/>
          <w:b w:val="0"/>
          <w:bCs/>
          <w:color w:val="auto"/>
          <w:sz w:val="32"/>
          <w:szCs w:val="32"/>
          <w:highlight w:val="none"/>
        </w:rPr>
        <w:t>，我部门无新增固定资产计划</w:t>
      </w:r>
      <w:r>
        <w:rPr>
          <w:rFonts w:hint="eastAsia" w:ascii="仿宋_GB2312" w:hAnsi="黑体" w:eastAsia="仿宋_GB2312" w:cs="Times New Roman"/>
          <w:b w:val="0"/>
          <w:bCs/>
          <w:color w:val="auto"/>
          <w:sz w:val="32"/>
          <w:szCs w:val="32"/>
          <w:highlight w:val="none"/>
        </w:rPr>
        <w:t>。</w:t>
      </w:r>
    </w:p>
    <w:tbl>
      <w:tblPr>
        <w:tblStyle w:val="7"/>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highlight w:val="none"/>
              </w:rPr>
            </w:pPr>
            <w:r>
              <w:rPr>
                <w:rFonts w:hint="eastAsia" w:ascii="宋体" w:hAnsi="宋体" w:eastAsia="宋体" w:cs="宋体"/>
                <w:b/>
                <w:bCs/>
                <w:kern w:val="0"/>
                <w:sz w:val="32"/>
                <w:szCs w:val="32"/>
                <w:highlight w:val="none"/>
                <w:lang w:eastAsia="zh-CN"/>
              </w:rPr>
              <w:t>中共霸州市委员会组织部</w:t>
            </w:r>
            <w:r>
              <w:rPr>
                <w:rFonts w:hint="eastAsia" w:ascii="宋体" w:hAnsi="宋体" w:eastAsia="宋体" w:cs="宋体"/>
                <w:b/>
                <w:bCs/>
                <w:kern w:val="0"/>
                <w:sz w:val="32"/>
                <w:szCs w:val="32"/>
                <w:highlight w:val="none"/>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highlight w:val="none"/>
              </w:rPr>
            </w:pPr>
            <w:r>
              <w:rPr>
                <w:rFonts w:hint="eastAsia" w:ascii="宋体" w:hAnsi="宋体" w:eastAsia="宋体" w:cs="宋体"/>
                <w:kern w:val="0"/>
                <w:sz w:val="22"/>
                <w:highlight w:val="none"/>
              </w:rPr>
              <w:t>编制部门：</w:t>
            </w:r>
            <w:r>
              <w:rPr>
                <w:rFonts w:hint="eastAsia" w:ascii="宋体" w:hAnsi="宋体" w:eastAsia="宋体" w:cs="宋体"/>
                <w:kern w:val="0"/>
                <w:sz w:val="22"/>
                <w:highlight w:val="none"/>
                <w:lang w:val="en-US" w:eastAsia="zh-CN"/>
              </w:rPr>
              <w:t>[127]中共霸州市委员会组织部</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highlight w:val="none"/>
              </w:rPr>
            </w:pPr>
            <w:r>
              <w:rPr>
                <w:rFonts w:hint="eastAsia" w:ascii="宋体" w:hAnsi="宋体" w:eastAsia="宋体" w:cs="宋体"/>
                <w:kern w:val="0"/>
                <w:sz w:val="22"/>
                <w:highlight w:val="none"/>
              </w:rPr>
              <w:t>截止时间：201</w:t>
            </w:r>
            <w:r>
              <w:rPr>
                <w:rFonts w:ascii="宋体" w:hAnsi="宋体" w:eastAsia="宋体" w:cs="宋体"/>
                <w:kern w:val="0"/>
                <w:sz w:val="22"/>
                <w:highlight w:val="none"/>
              </w:rPr>
              <w:t>9</w:t>
            </w:r>
            <w:r>
              <w:rPr>
                <w:rFonts w:hint="eastAsia" w:ascii="宋体" w:hAnsi="宋体" w:eastAsia="宋体" w:cs="宋体"/>
                <w:kern w:val="0"/>
                <w:sz w:val="22"/>
                <w:highlight w:val="none"/>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highlight w:val="none"/>
              </w:rPr>
            </w:pPr>
            <w:r>
              <w:rPr>
                <w:rFonts w:hint="eastAsia" w:ascii="宋体" w:hAnsi="宋体" w:eastAsia="宋体" w:cs="宋体"/>
                <w:b/>
                <w:bCs/>
                <w:kern w:val="0"/>
                <w:sz w:val="22"/>
                <w:highlight w:val="none"/>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highlight w:val="none"/>
              </w:rPr>
            </w:pPr>
            <w:r>
              <w:rPr>
                <w:rFonts w:hint="eastAsia" w:ascii="宋体" w:hAnsi="宋体" w:eastAsia="宋体" w:cs="宋体"/>
                <w:b/>
                <w:bCs/>
                <w:kern w:val="0"/>
                <w:sz w:val="22"/>
                <w:highlight w:val="none"/>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highlight w:val="none"/>
              </w:rPr>
            </w:pPr>
            <w:r>
              <w:rPr>
                <w:rFonts w:hint="eastAsia" w:ascii="宋体" w:hAnsi="宋体" w:eastAsia="宋体" w:cs="宋体"/>
                <w:b/>
                <w:bCs/>
                <w:kern w:val="0"/>
                <w:sz w:val="22"/>
                <w:highlight w:val="none"/>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161.508</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highlight w:val="none"/>
              </w:rPr>
            </w:pPr>
            <w:r>
              <w:rPr>
                <w:rFonts w:hint="eastAsia" w:ascii="宋体" w:hAnsi="宋体" w:eastAsia="宋体" w:cs="宋体"/>
                <w:kern w:val="0"/>
                <w:sz w:val="22"/>
                <w:highlight w:val="none"/>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0</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highlight w:val="none"/>
              </w:rPr>
            </w:pPr>
            <w:r>
              <w:rPr>
                <w:rFonts w:hint="eastAsia" w:ascii="宋体" w:hAnsi="宋体" w:eastAsia="宋体" w:cs="宋体"/>
                <w:kern w:val="0"/>
                <w:sz w:val="22"/>
                <w:highlight w:val="none"/>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0</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highlight w:val="none"/>
              </w:rPr>
            </w:pPr>
            <w:r>
              <w:rPr>
                <w:rFonts w:hint="eastAsia" w:ascii="宋体" w:hAnsi="宋体" w:eastAsia="宋体" w:cs="宋体"/>
                <w:kern w:val="0"/>
                <w:sz w:val="22"/>
                <w:highlight w:val="none"/>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32.58</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highlight w:val="none"/>
              </w:rPr>
            </w:pPr>
            <w:r>
              <w:rPr>
                <w:rFonts w:hint="eastAsia" w:ascii="宋体" w:hAnsi="宋体" w:eastAsia="宋体" w:cs="宋体"/>
                <w:kern w:val="0"/>
                <w:sz w:val="22"/>
                <w:highlight w:val="none"/>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30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highlight w:val="none"/>
              </w:rPr>
            </w:pPr>
            <w:r>
              <w:rPr>
                <w:rFonts w:hint="eastAsia" w:ascii="宋体" w:hAnsi="宋体" w:eastAsia="宋体" w:cs="宋体"/>
                <w:kern w:val="0"/>
                <w:sz w:val="22"/>
                <w:highlight w:val="none"/>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highlight w:val="none"/>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98.928</w:t>
            </w:r>
          </w:p>
        </w:tc>
      </w:tr>
    </w:tbl>
    <w:p>
      <w:pPr>
        <w:ind w:firstLine="640" w:firstLineChars="200"/>
        <w:rPr>
          <w:rFonts w:ascii="黑体" w:hAnsi="黑体" w:eastAsia="黑体" w:cs="Times New Roman"/>
          <w:sz w:val="32"/>
          <w:szCs w:val="32"/>
          <w:highlight w:val="none"/>
        </w:rPr>
      </w:pPr>
      <w:r>
        <w:rPr>
          <w:rFonts w:hint="eastAsia" w:ascii="黑体" w:hAnsi="黑体" w:eastAsia="黑体" w:cs="Times New Roman"/>
          <w:sz w:val="32"/>
          <w:szCs w:val="32"/>
          <w:highlight w:val="none"/>
        </w:rPr>
        <w:t>八、名词解释</w:t>
      </w:r>
    </w:p>
    <w:p>
      <w:pPr>
        <w:rPr>
          <w:rFonts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 xml:space="preserve"> </w:t>
      </w:r>
      <w:r>
        <w:rPr>
          <w:rFonts w:ascii="仿宋_GB2312" w:hAnsi="黑体" w:eastAsia="仿宋_GB2312" w:cs="Times New Roman"/>
          <w:sz w:val="32"/>
          <w:szCs w:val="32"/>
          <w:highlight w:val="none"/>
        </w:rPr>
        <w:t xml:space="preserve">   </w:t>
      </w:r>
      <w:r>
        <w:rPr>
          <w:rFonts w:hint="eastAsia" w:ascii="仿宋_GB2312" w:hAnsi="黑体" w:eastAsia="仿宋_GB2312" w:cs="Times New Roman"/>
          <w:sz w:val="32"/>
          <w:szCs w:val="32"/>
          <w:highlight w:val="none"/>
        </w:rPr>
        <w:t>1、一般公共预算拨款收入：指市级财政当年拨付的资金。</w:t>
      </w:r>
    </w:p>
    <w:p>
      <w:pPr>
        <w:rPr>
          <w:rFonts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 xml:space="preserve">    2、事业收入：指事业单位开展专业业务活动及辅助活动所取得的收入。</w:t>
      </w:r>
    </w:p>
    <w:p>
      <w:pPr>
        <w:rPr>
          <w:rFonts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 xml:space="preserve">    4、基本支出：指为保障机构正常运转、完成日常工作任务而发生的人员支出和公用支出。</w:t>
      </w:r>
    </w:p>
    <w:p>
      <w:pPr>
        <w:rPr>
          <w:rFonts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 xml:space="preserve">    5、项目支出：指在基本支出之外为完成特定行政任务和事业发展目标所发生的支出。</w:t>
      </w:r>
    </w:p>
    <w:p>
      <w:pPr>
        <w:rPr>
          <w:rFonts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 xml:space="preserve">    6、上缴上级支出：指下级单位上缴上级的支出。</w:t>
      </w:r>
    </w:p>
    <w:p>
      <w:pPr>
        <w:rPr>
          <w:rFonts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highlight w:val="none"/>
        </w:rPr>
      </w:pPr>
      <w:r>
        <w:rPr>
          <w:rFonts w:hint="eastAsia" w:ascii="黑体" w:hAnsi="黑体" w:eastAsia="黑体" w:cs="Times New Roman"/>
          <w:sz w:val="32"/>
          <w:szCs w:val="32"/>
          <w:highlight w:val="none"/>
        </w:rPr>
        <w:t>九、其他需要说明的事项</w:t>
      </w:r>
    </w:p>
    <w:p>
      <w:pPr>
        <w:ind w:firstLine="640"/>
        <w:rPr>
          <w:rFonts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5671CEC"/>
    <w:rsid w:val="0A715549"/>
    <w:rsid w:val="1C6A76B9"/>
    <w:rsid w:val="2DB57A7C"/>
    <w:rsid w:val="2F203D6D"/>
    <w:rsid w:val="3F645CFD"/>
    <w:rsid w:val="4B2F339E"/>
    <w:rsid w:val="4C114879"/>
    <w:rsid w:val="5CA43404"/>
    <w:rsid w:val="5F79314E"/>
    <w:rsid w:val="68123905"/>
    <w:rsid w:val="7D2B72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8"/>
    <w:link w:val="4"/>
    <w:qFormat/>
    <w:uiPriority w:val="0"/>
    <w:rPr>
      <w:rFonts w:ascii="Times New Roman" w:hAnsi="Times New Roman" w:eastAsia="宋体" w:cs="Times New Roman"/>
      <w:sz w:val="18"/>
      <w:szCs w:val="18"/>
    </w:rPr>
  </w:style>
  <w:style w:type="character" w:customStyle="1" w:styleId="10">
    <w:name w:val="页脚 字符"/>
    <w:basedOn w:val="8"/>
    <w:link w:val="3"/>
    <w:qFormat/>
    <w:uiPriority w:val="99"/>
    <w:rPr>
      <w:rFonts w:ascii="Times New Roman" w:hAnsi="Times New Roman" w:eastAsia="宋体" w:cs="Times New Roman"/>
      <w:sz w:val="18"/>
      <w:szCs w:val="18"/>
    </w:rPr>
  </w:style>
  <w:style w:type="character" w:customStyle="1" w:styleId="11">
    <w:name w:val="批注框文本 字符"/>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2524B2-7081-4867-82DF-CBEA303463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497</Words>
  <Characters>2838</Characters>
  <Lines>23</Lines>
  <Paragraphs>6</Paragraphs>
  <TotalTime>5</TotalTime>
  <ScaleCrop>false</ScaleCrop>
  <LinksUpToDate>false</LinksUpToDate>
  <CharactersWithSpaces>3329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Administrator</cp:lastModifiedBy>
  <cp:lastPrinted>2018-02-28T01:51:00Z</cp:lastPrinted>
  <dcterms:modified xsi:type="dcterms:W3CDTF">2020-07-19T07:46:16Z</dcterms:modified>
  <cp:revision>1407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